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4A5" w14:textId="77777777" w:rsidR="00461D77" w:rsidRPr="008C635F" w:rsidRDefault="00461D77" w:rsidP="00607B10">
      <w:pPr>
        <w:pStyle w:val="WPNormal"/>
        <w:bidi/>
        <w:jc w:val="center"/>
        <w:rPr>
          <w:rFonts w:ascii="Times" w:hAnsi="Times" w:hint="cs"/>
          <w:bCs/>
          <w:color w:val="000000" w:themeColor="text1"/>
          <w:rtl/>
          <w:lang w:bidi="he-IL"/>
        </w:rPr>
      </w:pPr>
    </w:p>
    <w:p w14:paraId="299E4024" w14:textId="77777777" w:rsidR="00637C13" w:rsidRPr="008C635F" w:rsidRDefault="00637C13">
      <w:pPr>
        <w:pStyle w:val="WPNormal"/>
        <w:jc w:val="center"/>
        <w:rPr>
          <w:rFonts w:ascii="Times" w:hAnsi="Times"/>
          <w:bCs/>
          <w:color w:val="000000" w:themeColor="text1"/>
        </w:rPr>
      </w:pPr>
    </w:p>
    <w:p w14:paraId="01D355D0" w14:textId="32223153" w:rsidR="008C635F" w:rsidRPr="008C635F" w:rsidRDefault="008C635F" w:rsidP="008C635F">
      <w:pPr>
        <w:spacing w:after="60"/>
        <w:jc w:val="right"/>
        <w:rPr>
          <w:rFonts w:ascii="Times New Roman" w:hAnsi="Times New Roman"/>
          <w:szCs w:val="24"/>
          <w:u w:val="single"/>
        </w:rPr>
      </w:pPr>
      <w:r w:rsidRPr="008C635F">
        <w:rPr>
          <w:rFonts w:ascii="Times New Roman" w:hAnsi="Times New Roman"/>
          <w:szCs w:val="24"/>
          <w:u w:val="single"/>
        </w:rPr>
        <w:t xml:space="preserve">Updated: </w:t>
      </w:r>
      <w:r>
        <w:rPr>
          <w:rFonts w:ascii="Times New Roman" w:hAnsi="Times New Roman"/>
          <w:szCs w:val="24"/>
          <w:u w:val="single"/>
        </w:rPr>
        <w:t>2</w:t>
      </w:r>
      <w:r w:rsidR="009D4A5D">
        <w:rPr>
          <w:rFonts w:ascii="Times New Roman" w:hAnsi="Times New Roman"/>
          <w:szCs w:val="24"/>
          <w:u w:val="single"/>
        </w:rPr>
        <w:t>3</w:t>
      </w:r>
      <w:r w:rsidRPr="008C635F">
        <w:rPr>
          <w:rFonts w:ascii="Times New Roman" w:hAnsi="Times New Roman"/>
          <w:szCs w:val="24"/>
          <w:u w:val="single"/>
        </w:rPr>
        <w:t>/</w:t>
      </w:r>
      <w:r>
        <w:rPr>
          <w:rFonts w:ascii="Times New Roman" w:hAnsi="Times New Roman"/>
          <w:szCs w:val="24"/>
          <w:u w:val="single"/>
        </w:rPr>
        <w:t>06</w:t>
      </w:r>
      <w:r w:rsidRPr="008C635F">
        <w:rPr>
          <w:rFonts w:ascii="Times New Roman" w:hAnsi="Times New Roman"/>
          <w:szCs w:val="24"/>
          <w:u w:val="single"/>
        </w:rPr>
        <w:t>/202</w:t>
      </w:r>
      <w:r>
        <w:rPr>
          <w:rFonts w:ascii="Times New Roman" w:hAnsi="Times New Roman"/>
          <w:szCs w:val="24"/>
          <w:u w:val="single"/>
        </w:rPr>
        <w:t>1</w:t>
      </w:r>
    </w:p>
    <w:p w14:paraId="238FC1FD" w14:textId="5AA00265" w:rsidR="008C635F" w:rsidRPr="00466EBC" w:rsidRDefault="008C635F" w:rsidP="008C635F">
      <w:pPr>
        <w:pStyle w:val="Title"/>
        <w:spacing w:before="300" w:afterLines="30" w:after="72"/>
        <w:rPr>
          <w:sz w:val="28"/>
          <w:szCs w:val="28"/>
        </w:rPr>
      </w:pPr>
      <w:r w:rsidRPr="00466EBC">
        <w:rPr>
          <w:sz w:val="28"/>
          <w:szCs w:val="28"/>
        </w:rPr>
        <w:t>Intellectual Property Law</w:t>
      </w:r>
    </w:p>
    <w:p w14:paraId="0EFAB334" w14:textId="77777777" w:rsidR="00466EBC" w:rsidRDefault="00466EBC" w:rsidP="00323558">
      <w:pPr>
        <w:pStyle w:val="Title"/>
        <w:spacing w:afterLines="30" w:after="72"/>
        <w:jc w:val="left"/>
        <w:rPr>
          <w:b w:val="0"/>
          <w:bCs w:val="0"/>
          <w:szCs w:val="24"/>
          <w:lang w:bidi="he-IL"/>
        </w:rPr>
      </w:pPr>
    </w:p>
    <w:p w14:paraId="5ACCA0B4" w14:textId="65DA9E60" w:rsidR="00461D77" w:rsidRPr="00323558" w:rsidRDefault="00323558" w:rsidP="00323558">
      <w:pPr>
        <w:pStyle w:val="Title"/>
        <w:spacing w:afterLines="30" w:after="7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  <w:lang w:bidi="he-IL"/>
        </w:rPr>
        <w:t xml:space="preserve">Dates and times: </w:t>
      </w:r>
      <w:r>
        <w:rPr>
          <w:b w:val="0"/>
          <w:bCs w:val="0"/>
          <w:szCs w:val="24"/>
          <w:lang w:bidi="he-IL"/>
        </w:rPr>
        <w:tab/>
      </w:r>
      <w:r w:rsidR="008C635F">
        <w:rPr>
          <w:b w:val="0"/>
          <w:bCs w:val="0"/>
          <w:szCs w:val="24"/>
        </w:rPr>
        <w:t>Thursdays</w:t>
      </w:r>
      <w:r w:rsidR="008C635F" w:rsidRPr="008C635F">
        <w:rPr>
          <w:b w:val="0"/>
          <w:bCs w:val="0"/>
          <w:szCs w:val="24"/>
        </w:rPr>
        <w:t xml:space="preserve"> • </w:t>
      </w:r>
      <w:r w:rsidR="008C635F">
        <w:rPr>
          <w:b w:val="0"/>
          <w:bCs w:val="0"/>
          <w:szCs w:val="24"/>
        </w:rPr>
        <w:t xml:space="preserve">15/07/2021 – 02/09/2021 </w:t>
      </w:r>
      <w:r w:rsidR="008C635F" w:rsidRPr="008C635F">
        <w:rPr>
          <w:b w:val="0"/>
          <w:bCs w:val="0"/>
          <w:szCs w:val="24"/>
        </w:rPr>
        <w:t>• 1</w:t>
      </w:r>
      <w:r w:rsidR="008C635F">
        <w:rPr>
          <w:b w:val="0"/>
          <w:bCs w:val="0"/>
          <w:szCs w:val="24"/>
        </w:rPr>
        <w:t>4</w:t>
      </w:r>
      <w:r w:rsidR="008C635F" w:rsidRPr="008C635F">
        <w:rPr>
          <w:b w:val="0"/>
          <w:bCs w:val="0"/>
          <w:szCs w:val="24"/>
        </w:rPr>
        <w:t>:00 – 1</w:t>
      </w:r>
      <w:r w:rsidR="008C635F">
        <w:rPr>
          <w:b w:val="0"/>
          <w:bCs w:val="0"/>
          <w:szCs w:val="24"/>
        </w:rPr>
        <w:t>7</w:t>
      </w:r>
      <w:r w:rsidR="008C635F" w:rsidRPr="008C635F">
        <w:rPr>
          <w:b w:val="0"/>
          <w:bCs w:val="0"/>
          <w:szCs w:val="24"/>
        </w:rPr>
        <w:t>:</w:t>
      </w:r>
      <w:r w:rsidR="008C635F">
        <w:rPr>
          <w:b w:val="0"/>
          <w:bCs w:val="0"/>
          <w:szCs w:val="24"/>
        </w:rPr>
        <w:t>45</w:t>
      </w:r>
    </w:p>
    <w:p w14:paraId="03D9F277" w14:textId="74B25D6C" w:rsidR="009D4A5D" w:rsidRPr="008C635F" w:rsidRDefault="00461D77" w:rsidP="009D4A5D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Instructor: </w:t>
      </w:r>
      <w:r w:rsidRPr="008C635F">
        <w:rPr>
          <w:rFonts w:ascii="Times" w:hAnsi="Times"/>
          <w:bCs/>
          <w:color w:val="000000" w:themeColor="text1"/>
        </w:rPr>
        <w:tab/>
      </w:r>
      <w:r w:rsidRPr="008C635F">
        <w:rPr>
          <w:rFonts w:ascii="Times" w:hAnsi="Times"/>
          <w:bCs/>
          <w:color w:val="000000" w:themeColor="text1"/>
        </w:rPr>
        <w:tab/>
      </w:r>
      <w:r w:rsidR="008C635F">
        <w:rPr>
          <w:rFonts w:ascii="Times" w:hAnsi="Times"/>
          <w:bCs/>
          <w:color w:val="000000" w:themeColor="text1"/>
        </w:rPr>
        <w:t xml:space="preserve">Professor Dotan Oliar, </w:t>
      </w:r>
      <w:hyperlink r:id="rId8" w:history="1">
        <w:r w:rsidR="009D4A5D" w:rsidRPr="0012406E">
          <w:rPr>
            <w:rStyle w:val="Hyperlink"/>
            <w:rFonts w:ascii="Times" w:hAnsi="Times"/>
            <w:bCs/>
          </w:rPr>
          <w:t>dotan.oliar@gmail.com</w:t>
        </w:r>
      </w:hyperlink>
      <w:r w:rsidR="009D4A5D">
        <w:rPr>
          <w:rFonts w:ascii="Times" w:hAnsi="Times"/>
          <w:bCs/>
          <w:color w:val="000000" w:themeColor="text1"/>
        </w:rPr>
        <w:t xml:space="preserve"> </w:t>
      </w:r>
    </w:p>
    <w:p w14:paraId="1EAB19FB" w14:textId="6108C5F9" w:rsidR="00461D77" w:rsidRPr="008C635F" w:rsidRDefault="00461D77" w:rsidP="008C635F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>Office Hours:</w:t>
      </w:r>
      <w:r w:rsidRPr="008C635F">
        <w:rPr>
          <w:rFonts w:ascii="Times" w:hAnsi="Times"/>
          <w:bCs/>
          <w:color w:val="000000" w:themeColor="text1"/>
        </w:rPr>
        <w:tab/>
      </w:r>
      <w:r w:rsidRPr="008C635F">
        <w:rPr>
          <w:rFonts w:ascii="Times" w:hAnsi="Times"/>
          <w:bCs/>
          <w:color w:val="000000" w:themeColor="text1"/>
        </w:rPr>
        <w:tab/>
      </w:r>
      <w:r w:rsidR="008C635F">
        <w:rPr>
          <w:rFonts w:ascii="Times" w:hAnsi="Times"/>
          <w:bCs/>
          <w:color w:val="000000" w:themeColor="text1"/>
        </w:rPr>
        <w:t>Thursdays after class and by appointment</w:t>
      </w:r>
    </w:p>
    <w:p w14:paraId="25106895" w14:textId="3C519971" w:rsidR="00637C13" w:rsidRPr="008C635F" w:rsidRDefault="00637C13" w:rsidP="00BD2161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TA's: </w:t>
      </w:r>
      <w:r w:rsidRPr="008C635F">
        <w:rPr>
          <w:rFonts w:ascii="Times" w:hAnsi="Times"/>
          <w:bCs/>
          <w:color w:val="000000" w:themeColor="text1"/>
        </w:rPr>
        <w:tab/>
      </w:r>
      <w:r w:rsidRPr="008C635F">
        <w:rPr>
          <w:rFonts w:ascii="Times" w:hAnsi="Times"/>
          <w:bCs/>
          <w:color w:val="000000" w:themeColor="text1"/>
        </w:rPr>
        <w:tab/>
      </w:r>
      <w:r w:rsidR="00CC7EB3" w:rsidRPr="008C635F">
        <w:rPr>
          <w:rFonts w:ascii="Times" w:hAnsi="Times"/>
          <w:bCs/>
          <w:color w:val="000000" w:themeColor="text1"/>
        </w:rPr>
        <w:t xml:space="preserve">            </w:t>
      </w:r>
      <w:r w:rsidR="008C635F">
        <w:rPr>
          <w:rFonts w:ascii="Times" w:hAnsi="Times"/>
          <w:bCs/>
          <w:color w:val="000000" w:themeColor="text1"/>
        </w:rPr>
        <w:t>None</w:t>
      </w:r>
    </w:p>
    <w:p w14:paraId="7D93454C" w14:textId="77777777" w:rsidR="00461D77" w:rsidRPr="008C635F" w:rsidRDefault="00461D77">
      <w:pPr>
        <w:pStyle w:val="WPNormal"/>
        <w:rPr>
          <w:rFonts w:ascii="Times" w:hAnsi="Times"/>
          <w:bCs/>
          <w:color w:val="000000" w:themeColor="text1"/>
        </w:rPr>
      </w:pPr>
    </w:p>
    <w:p w14:paraId="15D677D0" w14:textId="320519D4" w:rsidR="00637C13" w:rsidRPr="008C635F" w:rsidRDefault="00637C13" w:rsidP="00912BFE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Prerequisites: </w:t>
      </w:r>
      <w:r w:rsidR="008C635F">
        <w:rPr>
          <w:rFonts w:ascii="Times" w:hAnsi="Times"/>
          <w:bCs/>
          <w:color w:val="000000" w:themeColor="text1"/>
        </w:rPr>
        <w:t>None</w:t>
      </w:r>
    </w:p>
    <w:p w14:paraId="5FBF27AC" w14:textId="12CF5E28" w:rsidR="00A17B0C" w:rsidRPr="008C635F" w:rsidRDefault="009B7991" w:rsidP="00912BFE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Co-requisites: </w:t>
      </w:r>
      <w:r w:rsidR="008C635F">
        <w:rPr>
          <w:rFonts w:ascii="Times" w:hAnsi="Times"/>
          <w:bCs/>
          <w:color w:val="000000" w:themeColor="text1"/>
        </w:rPr>
        <w:t>None</w:t>
      </w:r>
    </w:p>
    <w:p w14:paraId="4361EBC4" w14:textId="36C9E93C" w:rsidR="00A17B0C" w:rsidRPr="008C635F" w:rsidRDefault="00EA779A" w:rsidP="00A17B0C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Courses Without Credit: </w:t>
      </w:r>
      <w:r w:rsidR="008C635F">
        <w:rPr>
          <w:rFonts w:ascii="Times" w:hAnsi="Times"/>
          <w:bCs/>
          <w:color w:val="000000" w:themeColor="text1"/>
        </w:rPr>
        <w:t>None</w:t>
      </w:r>
    </w:p>
    <w:p w14:paraId="1E9EA8D4" w14:textId="77777777" w:rsidR="00EA779A" w:rsidRPr="008C635F" w:rsidRDefault="00EA779A" w:rsidP="00A17B0C">
      <w:pPr>
        <w:pStyle w:val="WPNormal"/>
        <w:rPr>
          <w:rFonts w:ascii="Times" w:hAnsi="Times"/>
          <w:bCs/>
          <w:color w:val="000000" w:themeColor="text1"/>
        </w:rPr>
      </w:pPr>
    </w:p>
    <w:p w14:paraId="47BF92B3" w14:textId="55015DBE" w:rsidR="00637C13" w:rsidRPr="008C635F" w:rsidRDefault="00637C13" w:rsidP="00A17B0C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</w:rPr>
        <w:t xml:space="preserve">Credits: </w:t>
      </w:r>
      <w:r w:rsidR="008370DB">
        <w:rPr>
          <w:rFonts w:ascii="Times" w:hAnsi="Times"/>
          <w:bCs/>
          <w:color w:val="000000" w:themeColor="text1"/>
        </w:rPr>
        <w:t>[##]</w:t>
      </w:r>
    </w:p>
    <w:p w14:paraId="1B6BB406" w14:textId="77777777" w:rsidR="00637C13" w:rsidRPr="008C635F" w:rsidRDefault="00637C13" w:rsidP="00637C13">
      <w:pPr>
        <w:pStyle w:val="WPNormal"/>
        <w:rPr>
          <w:rFonts w:ascii="Times" w:hAnsi="Times"/>
          <w:bCs/>
          <w:color w:val="000000" w:themeColor="text1"/>
        </w:rPr>
      </w:pPr>
    </w:p>
    <w:p w14:paraId="0DE5F93D" w14:textId="69B57E61" w:rsidR="003C36B3" w:rsidRPr="008C635F" w:rsidRDefault="00572957" w:rsidP="00F13848">
      <w:pPr>
        <w:pStyle w:val="WPNormal"/>
        <w:rPr>
          <w:rFonts w:ascii="Times" w:hAnsi="Times"/>
          <w:bCs/>
          <w:color w:val="000000" w:themeColor="text1"/>
        </w:rPr>
      </w:pPr>
      <w:r w:rsidRPr="008C635F">
        <w:rPr>
          <w:rFonts w:ascii="Times" w:hAnsi="Times"/>
          <w:bCs/>
          <w:color w:val="000000" w:themeColor="text1"/>
          <w:szCs w:val="24"/>
          <w:lang w:bidi="he-IL"/>
        </w:rPr>
        <w:t>Study hours per week</w:t>
      </w:r>
      <w:r w:rsidR="00587021" w:rsidRPr="008C635F">
        <w:rPr>
          <w:rFonts w:ascii="Times" w:hAnsi="Times"/>
          <w:bCs/>
          <w:color w:val="000000" w:themeColor="text1"/>
          <w:szCs w:val="24"/>
          <w:lang w:bidi="he-IL"/>
        </w:rPr>
        <w:t xml:space="preserve">: </w:t>
      </w:r>
      <w:r w:rsidRPr="008C635F">
        <w:rPr>
          <w:rFonts w:ascii="Times" w:hAnsi="Times"/>
          <w:bCs/>
          <w:color w:val="000000" w:themeColor="text1"/>
        </w:rPr>
        <w:t>Lecture</w:t>
      </w:r>
      <w:r w:rsidR="008C635F">
        <w:rPr>
          <w:rFonts w:ascii="Times" w:hAnsi="Times"/>
          <w:bCs/>
          <w:color w:val="000000" w:themeColor="text1"/>
        </w:rPr>
        <w:t xml:space="preserve"> </w:t>
      </w:r>
      <w:r w:rsidR="008370DB">
        <w:rPr>
          <w:rFonts w:ascii="Times" w:hAnsi="Times"/>
          <w:bCs/>
          <w:color w:val="000000" w:themeColor="text1"/>
        </w:rPr>
        <w:t>–</w:t>
      </w:r>
      <w:r w:rsidR="008C635F">
        <w:rPr>
          <w:rFonts w:ascii="Times" w:hAnsi="Times"/>
          <w:bCs/>
          <w:color w:val="000000" w:themeColor="text1"/>
        </w:rPr>
        <w:t xml:space="preserve"> </w:t>
      </w:r>
      <w:r w:rsidR="008370DB">
        <w:rPr>
          <w:rFonts w:ascii="Times" w:hAnsi="Times"/>
          <w:bCs/>
          <w:color w:val="000000" w:themeColor="text1"/>
        </w:rPr>
        <w:t>[##]</w:t>
      </w:r>
    </w:p>
    <w:p w14:paraId="4A974F55" w14:textId="77777777" w:rsidR="00F14AB9" w:rsidRPr="008C635F" w:rsidRDefault="00F14AB9" w:rsidP="00755DED">
      <w:pPr>
        <w:pStyle w:val="WPNormal"/>
        <w:rPr>
          <w:rFonts w:ascii="Times" w:hAnsi="Times"/>
          <w:bCs/>
          <w:color w:val="000000" w:themeColor="text1"/>
        </w:rPr>
      </w:pPr>
    </w:p>
    <w:p w14:paraId="29CB563C" w14:textId="77777777" w:rsidR="00F14AB9" w:rsidRPr="008C635F" w:rsidRDefault="00F14AB9" w:rsidP="00755DED">
      <w:pPr>
        <w:pStyle w:val="WPNormal"/>
        <w:rPr>
          <w:rFonts w:ascii="Times" w:hAnsi="Times"/>
          <w:bCs/>
          <w:color w:val="000000" w:themeColor="text1"/>
        </w:rPr>
      </w:pPr>
    </w:p>
    <w:p w14:paraId="78B7F3EA" w14:textId="77777777" w:rsidR="0014634C" w:rsidRPr="008C635F" w:rsidRDefault="0014634C" w:rsidP="00755DED">
      <w:pPr>
        <w:pStyle w:val="WPNormal"/>
        <w:rPr>
          <w:rFonts w:ascii="Times" w:hAnsi="Times"/>
          <w:bCs/>
          <w:color w:val="000000" w:themeColor="text1"/>
        </w:rPr>
      </w:pPr>
    </w:p>
    <w:p w14:paraId="44155A15" w14:textId="77777777" w:rsidR="00F14AB9" w:rsidRPr="008C635F" w:rsidRDefault="00F14AB9" w:rsidP="00755DED">
      <w:pPr>
        <w:pStyle w:val="WPNormal"/>
        <w:rPr>
          <w:rFonts w:ascii="Times" w:hAnsi="Times"/>
          <w:bCs/>
          <w:color w:val="000000" w:themeColor="text1"/>
          <w:rtl/>
          <w:lang w:bidi="he-IL"/>
        </w:rPr>
      </w:pPr>
    </w:p>
    <w:p w14:paraId="022DBE0F" w14:textId="77777777" w:rsidR="00587021" w:rsidRPr="008C635F" w:rsidRDefault="00587021" w:rsidP="00634A75">
      <w:pPr>
        <w:pStyle w:val="WPNormal"/>
        <w:rPr>
          <w:rFonts w:ascii="Times" w:hAnsi="Times"/>
          <w:bCs/>
          <w:color w:val="000000" w:themeColor="text1"/>
          <w:rtl/>
          <w:lang w:bidi="he-IL"/>
        </w:rPr>
      </w:pPr>
    </w:p>
    <w:p w14:paraId="2FE1048A" w14:textId="29ED9B5D" w:rsidR="000342B4" w:rsidRDefault="00461D77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 xml:space="preserve">Course </w:t>
      </w:r>
      <w:r w:rsidR="00C3497C" w:rsidRPr="008C635F">
        <w:rPr>
          <w:rFonts w:ascii="Times" w:hAnsi="Times"/>
          <w:b/>
          <w:color w:val="000000" w:themeColor="text1"/>
        </w:rPr>
        <w:t>Goals</w:t>
      </w:r>
      <w:r w:rsidR="001816AE" w:rsidRPr="008C635F">
        <w:rPr>
          <w:rFonts w:ascii="Times" w:hAnsi="Times"/>
          <w:b/>
          <w:color w:val="000000" w:themeColor="text1"/>
        </w:rPr>
        <w:t xml:space="preserve"> </w:t>
      </w:r>
      <w:r w:rsidRPr="008C635F">
        <w:rPr>
          <w:rFonts w:ascii="Times" w:hAnsi="Times"/>
          <w:b/>
          <w:color w:val="000000" w:themeColor="text1"/>
        </w:rPr>
        <w:t xml:space="preserve">and </w:t>
      </w:r>
      <w:r w:rsidR="00637C13" w:rsidRPr="008C635F">
        <w:rPr>
          <w:rFonts w:ascii="Times" w:hAnsi="Times"/>
          <w:b/>
          <w:color w:val="000000" w:themeColor="text1"/>
        </w:rPr>
        <w:t>Description</w:t>
      </w:r>
    </w:p>
    <w:p w14:paraId="1B6E07D8" w14:textId="77777777" w:rsidR="007A0118" w:rsidRPr="008C635F" w:rsidRDefault="007A0118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6677F9B9" w14:textId="4890A34D" w:rsidR="00F14AB9" w:rsidRPr="008370DB" w:rsidRDefault="008370DB" w:rsidP="00EB2024">
      <w:pPr>
        <w:pStyle w:val="WPNormal"/>
        <w:ind w:left="360"/>
        <w:rPr>
          <w:rFonts w:ascii="Times" w:hAnsi="Times"/>
          <w:bCs/>
          <w:color w:val="000000" w:themeColor="text1"/>
          <w:lang w:bidi="he-IL"/>
        </w:rPr>
      </w:pPr>
      <w:r>
        <w:rPr>
          <w:rFonts w:ascii="Times" w:hAnsi="Times"/>
          <w:bCs/>
          <w:color w:val="000000" w:themeColor="text1"/>
        </w:rPr>
        <w:t xml:space="preserve">Intellectual property </w:t>
      </w:r>
      <w:r w:rsidR="0001585D">
        <w:rPr>
          <w:rFonts w:ascii="Times" w:hAnsi="Times"/>
          <w:bCs/>
          <w:color w:val="000000" w:themeColor="text1"/>
        </w:rPr>
        <w:t>is probably</w:t>
      </w:r>
      <w:r w:rsidR="00EB2024">
        <w:rPr>
          <w:rFonts w:ascii="Times" w:hAnsi="Times"/>
          <w:bCs/>
          <w:color w:val="000000" w:themeColor="text1"/>
        </w:rPr>
        <w:t xml:space="preserve"> </w:t>
      </w:r>
      <w:r w:rsidR="0001585D">
        <w:rPr>
          <w:rFonts w:ascii="Times" w:hAnsi="Times"/>
          <w:bCs/>
          <w:color w:val="000000" w:themeColor="text1"/>
        </w:rPr>
        <w:t>the</w:t>
      </w:r>
      <w:r w:rsidR="00EB2024">
        <w:rPr>
          <w:rFonts w:ascii="Times" w:hAnsi="Times"/>
          <w:bCs/>
          <w:color w:val="000000" w:themeColor="text1"/>
        </w:rPr>
        <w:t xml:space="preserve"> </w:t>
      </w:r>
      <w:r w:rsidR="00291269">
        <w:rPr>
          <w:rFonts w:ascii="Times" w:hAnsi="Times"/>
          <w:bCs/>
          <w:color w:val="000000" w:themeColor="text1"/>
        </w:rPr>
        <w:t>major</w:t>
      </w:r>
      <w:r>
        <w:rPr>
          <w:rFonts w:ascii="Times" w:hAnsi="Times"/>
          <w:bCs/>
          <w:color w:val="000000" w:themeColor="text1"/>
        </w:rPr>
        <w:t xml:space="preserve"> </w:t>
      </w:r>
      <w:r w:rsidR="00291269">
        <w:rPr>
          <w:rFonts w:ascii="Times" w:hAnsi="Times"/>
          <w:bCs/>
          <w:color w:val="000000" w:themeColor="text1"/>
        </w:rPr>
        <w:t>asset</w:t>
      </w:r>
      <w:r>
        <w:rPr>
          <w:rFonts w:ascii="Times" w:hAnsi="Times"/>
          <w:bCs/>
          <w:color w:val="000000" w:themeColor="text1"/>
        </w:rPr>
        <w:t xml:space="preserve"> </w:t>
      </w:r>
      <w:r w:rsidR="00A915BB">
        <w:rPr>
          <w:rFonts w:ascii="Times" w:hAnsi="Times"/>
          <w:bCs/>
          <w:color w:val="000000" w:themeColor="text1"/>
        </w:rPr>
        <w:t>of companies in</w:t>
      </w:r>
      <w:r>
        <w:rPr>
          <w:rFonts w:ascii="Times" w:hAnsi="Times"/>
          <w:bCs/>
          <w:color w:val="000000" w:themeColor="text1"/>
        </w:rPr>
        <w:t xml:space="preserve"> creative </w:t>
      </w:r>
      <w:r w:rsidR="00A915BB">
        <w:rPr>
          <w:rFonts w:ascii="Times" w:hAnsi="Times"/>
          <w:bCs/>
          <w:color w:val="000000" w:themeColor="text1"/>
        </w:rPr>
        <w:t xml:space="preserve">industries, </w:t>
      </w:r>
      <w:r w:rsidR="0001585D">
        <w:rPr>
          <w:rFonts w:ascii="Times" w:hAnsi="Times"/>
          <w:bCs/>
          <w:color w:val="000000" w:themeColor="text1"/>
        </w:rPr>
        <w:t>including the</w:t>
      </w:r>
      <w:r w:rsidR="00A915BB">
        <w:rPr>
          <w:rFonts w:ascii="Times" w:hAnsi="Times"/>
          <w:bCs/>
          <w:color w:val="000000" w:themeColor="text1"/>
        </w:rPr>
        <w:t xml:space="preserve"> software, publishing, music</w:t>
      </w:r>
      <w:r w:rsidR="003312A0">
        <w:rPr>
          <w:rFonts w:ascii="Times" w:hAnsi="Times"/>
          <w:bCs/>
          <w:color w:val="000000" w:themeColor="text1"/>
        </w:rPr>
        <w:t>, TV</w:t>
      </w:r>
      <w:r w:rsidR="00EB2024">
        <w:rPr>
          <w:rFonts w:ascii="Times" w:hAnsi="Times"/>
          <w:bCs/>
          <w:color w:val="000000" w:themeColor="text1"/>
        </w:rPr>
        <w:t xml:space="preserve">, </w:t>
      </w:r>
      <w:r w:rsidR="00A915BB">
        <w:rPr>
          <w:rFonts w:ascii="Times" w:hAnsi="Times"/>
          <w:bCs/>
          <w:color w:val="000000" w:themeColor="text1"/>
        </w:rPr>
        <w:t>film,</w:t>
      </w:r>
      <w:r w:rsidR="00EB2024">
        <w:rPr>
          <w:rFonts w:ascii="Times" w:hAnsi="Times"/>
          <w:bCs/>
          <w:color w:val="000000" w:themeColor="text1"/>
        </w:rPr>
        <w:t xml:space="preserve"> </w:t>
      </w:r>
      <w:proofErr w:type="gramStart"/>
      <w:r w:rsidR="00EB2024">
        <w:rPr>
          <w:rFonts w:ascii="Times" w:hAnsi="Times"/>
          <w:bCs/>
          <w:color w:val="000000" w:themeColor="text1"/>
        </w:rPr>
        <w:t>media</w:t>
      </w:r>
      <w:proofErr w:type="gramEnd"/>
      <w:r w:rsidR="00EB2024">
        <w:rPr>
          <w:rFonts w:ascii="Times" w:hAnsi="Times"/>
          <w:bCs/>
          <w:color w:val="000000" w:themeColor="text1"/>
        </w:rPr>
        <w:t xml:space="preserve"> and advertising</w:t>
      </w:r>
      <w:r w:rsidR="0001585D">
        <w:rPr>
          <w:rFonts w:ascii="Times" w:hAnsi="Times"/>
          <w:bCs/>
          <w:color w:val="000000" w:themeColor="text1"/>
        </w:rPr>
        <w:t xml:space="preserve"> sectors</w:t>
      </w:r>
      <w:r w:rsidR="00EB2024">
        <w:rPr>
          <w:rFonts w:ascii="Times" w:hAnsi="Times"/>
          <w:bCs/>
          <w:color w:val="000000" w:themeColor="text1"/>
        </w:rPr>
        <w:t>,</w:t>
      </w:r>
      <w:r w:rsidR="00A915BB">
        <w:rPr>
          <w:rFonts w:ascii="Times" w:hAnsi="Times"/>
          <w:bCs/>
          <w:color w:val="000000" w:themeColor="text1"/>
        </w:rPr>
        <w:t xml:space="preserve"> and in </w:t>
      </w:r>
      <w:r>
        <w:rPr>
          <w:rFonts w:ascii="Times" w:hAnsi="Times"/>
          <w:bCs/>
          <w:color w:val="000000" w:themeColor="text1"/>
        </w:rPr>
        <w:t>technology-</w:t>
      </w:r>
      <w:r w:rsidR="003312A0">
        <w:rPr>
          <w:rFonts w:ascii="Times" w:hAnsi="Times"/>
          <w:bCs/>
          <w:color w:val="000000" w:themeColor="text1"/>
        </w:rPr>
        <w:t>driven</w:t>
      </w:r>
      <w:r>
        <w:rPr>
          <w:rFonts w:ascii="Times" w:hAnsi="Times"/>
          <w:bCs/>
          <w:color w:val="000000" w:themeColor="text1"/>
        </w:rPr>
        <w:t xml:space="preserve"> </w:t>
      </w:r>
      <w:r w:rsidR="0001585D">
        <w:rPr>
          <w:rFonts w:ascii="Times" w:hAnsi="Times"/>
          <w:bCs/>
          <w:color w:val="000000" w:themeColor="text1"/>
        </w:rPr>
        <w:t>industries</w:t>
      </w:r>
      <w:r w:rsidR="00EB2024">
        <w:rPr>
          <w:rFonts w:ascii="Times" w:hAnsi="Times"/>
          <w:bCs/>
          <w:color w:val="000000" w:themeColor="text1"/>
        </w:rPr>
        <w:t>,</w:t>
      </w:r>
      <w:r w:rsidR="003312A0">
        <w:rPr>
          <w:rFonts w:ascii="Times" w:hAnsi="Times"/>
          <w:bCs/>
          <w:color w:val="000000" w:themeColor="text1"/>
        </w:rPr>
        <w:t xml:space="preserve"> </w:t>
      </w:r>
      <w:r w:rsidR="0001585D">
        <w:rPr>
          <w:rFonts w:ascii="Times" w:hAnsi="Times"/>
          <w:bCs/>
          <w:color w:val="000000" w:themeColor="text1"/>
        </w:rPr>
        <w:t>including the</w:t>
      </w:r>
      <w:r w:rsidR="003312A0">
        <w:rPr>
          <w:rFonts w:ascii="Times" w:hAnsi="Times"/>
          <w:bCs/>
          <w:color w:val="000000" w:themeColor="text1"/>
        </w:rPr>
        <w:t xml:space="preserve"> </w:t>
      </w:r>
      <w:r w:rsidR="00EB2024">
        <w:rPr>
          <w:rFonts w:ascii="Times" w:hAnsi="Times"/>
          <w:bCs/>
          <w:color w:val="000000" w:themeColor="text1"/>
        </w:rPr>
        <w:t>h</w:t>
      </w:r>
      <w:r w:rsidR="00A915BB">
        <w:rPr>
          <w:rFonts w:ascii="Times" w:hAnsi="Times"/>
          <w:bCs/>
          <w:color w:val="000000" w:themeColor="text1"/>
        </w:rPr>
        <w:t>igh-</w:t>
      </w:r>
      <w:r w:rsidR="00EB2024">
        <w:rPr>
          <w:rFonts w:ascii="Times" w:hAnsi="Times"/>
          <w:bCs/>
          <w:color w:val="000000" w:themeColor="text1"/>
        </w:rPr>
        <w:t>t</w:t>
      </w:r>
      <w:r w:rsidR="00A915BB">
        <w:rPr>
          <w:rFonts w:ascii="Times" w:hAnsi="Times"/>
          <w:bCs/>
          <w:color w:val="000000" w:themeColor="text1"/>
        </w:rPr>
        <w:t>ech</w:t>
      </w:r>
      <w:r w:rsidR="003312A0">
        <w:rPr>
          <w:rFonts w:ascii="Times" w:hAnsi="Times"/>
          <w:bCs/>
          <w:color w:val="000000" w:themeColor="text1"/>
        </w:rPr>
        <w:t xml:space="preserve"> and </w:t>
      </w:r>
      <w:r w:rsidR="00EB2024">
        <w:rPr>
          <w:rFonts w:ascii="Times" w:hAnsi="Times"/>
          <w:bCs/>
          <w:color w:val="000000" w:themeColor="text1"/>
        </w:rPr>
        <w:t>s</w:t>
      </w:r>
      <w:r w:rsidR="003312A0">
        <w:rPr>
          <w:rFonts w:ascii="Times" w:hAnsi="Times"/>
          <w:bCs/>
          <w:color w:val="000000" w:themeColor="text1"/>
        </w:rPr>
        <w:t>emiconductors</w:t>
      </w:r>
      <w:r w:rsidR="00A915BB">
        <w:rPr>
          <w:rFonts w:ascii="Times" w:hAnsi="Times"/>
          <w:bCs/>
          <w:color w:val="000000" w:themeColor="text1"/>
        </w:rPr>
        <w:t xml:space="preserve">, </w:t>
      </w:r>
      <w:r w:rsidR="00EB2024">
        <w:rPr>
          <w:rFonts w:ascii="Times" w:hAnsi="Times"/>
          <w:bCs/>
          <w:color w:val="000000" w:themeColor="text1"/>
        </w:rPr>
        <w:t>h</w:t>
      </w:r>
      <w:r w:rsidR="003312A0">
        <w:rPr>
          <w:rFonts w:ascii="Times" w:hAnsi="Times"/>
          <w:bCs/>
          <w:color w:val="000000" w:themeColor="text1"/>
        </w:rPr>
        <w:t xml:space="preserve">ealth and </w:t>
      </w:r>
      <w:r w:rsidR="00EB2024">
        <w:rPr>
          <w:rFonts w:ascii="Times" w:hAnsi="Times"/>
          <w:bCs/>
          <w:color w:val="000000" w:themeColor="text1"/>
        </w:rPr>
        <w:t>l</w:t>
      </w:r>
      <w:r w:rsidR="003312A0">
        <w:rPr>
          <w:rFonts w:ascii="Times" w:hAnsi="Times"/>
          <w:bCs/>
          <w:color w:val="000000" w:themeColor="text1"/>
        </w:rPr>
        <w:t xml:space="preserve">ife </w:t>
      </w:r>
      <w:r w:rsidR="00EB2024">
        <w:rPr>
          <w:rFonts w:ascii="Times" w:hAnsi="Times"/>
          <w:bCs/>
          <w:color w:val="000000" w:themeColor="text1"/>
        </w:rPr>
        <w:t>s</w:t>
      </w:r>
      <w:r w:rsidR="003312A0">
        <w:rPr>
          <w:rFonts w:ascii="Times" w:hAnsi="Times"/>
          <w:bCs/>
          <w:color w:val="000000" w:themeColor="text1"/>
        </w:rPr>
        <w:t xml:space="preserve">ciences, </w:t>
      </w:r>
      <w:r w:rsidR="00EB2024">
        <w:rPr>
          <w:rFonts w:ascii="Times" w:hAnsi="Times"/>
          <w:bCs/>
          <w:color w:val="000000" w:themeColor="text1"/>
        </w:rPr>
        <w:t>a</w:t>
      </w:r>
      <w:r w:rsidR="003312A0">
        <w:rPr>
          <w:rFonts w:ascii="Times" w:hAnsi="Times"/>
          <w:bCs/>
          <w:color w:val="000000" w:themeColor="text1"/>
        </w:rPr>
        <w:t xml:space="preserve">utomotive, </w:t>
      </w:r>
      <w:r w:rsidR="00EB2024">
        <w:rPr>
          <w:rFonts w:ascii="Times" w:hAnsi="Times"/>
          <w:bCs/>
          <w:color w:val="000000" w:themeColor="text1"/>
        </w:rPr>
        <w:t>a</w:t>
      </w:r>
      <w:r w:rsidR="003312A0">
        <w:rPr>
          <w:rFonts w:ascii="Times" w:hAnsi="Times"/>
          <w:bCs/>
          <w:color w:val="000000" w:themeColor="text1"/>
        </w:rPr>
        <w:t xml:space="preserve">erospace, </w:t>
      </w:r>
      <w:r w:rsidR="00EB2024">
        <w:rPr>
          <w:rFonts w:ascii="Times" w:hAnsi="Times"/>
          <w:bCs/>
          <w:color w:val="000000" w:themeColor="text1"/>
        </w:rPr>
        <w:t>a</w:t>
      </w:r>
      <w:r w:rsidR="003312A0">
        <w:rPr>
          <w:rFonts w:ascii="Times" w:hAnsi="Times"/>
          <w:bCs/>
          <w:color w:val="000000" w:themeColor="text1"/>
        </w:rPr>
        <w:t xml:space="preserve">gricultural and </w:t>
      </w:r>
      <w:r w:rsidR="00EB2024">
        <w:rPr>
          <w:rFonts w:ascii="Times" w:hAnsi="Times"/>
          <w:bCs/>
          <w:color w:val="000000" w:themeColor="text1"/>
        </w:rPr>
        <w:t>f</w:t>
      </w:r>
      <w:r w:rsidR="003312A0">
        <w:rPr>
          <w:rFonts w:ascii="Times" w:hAnsi="Times"/>
          <w:bCs/>
          <w:color w:val="000000" w:themeColor="text1"/>
        </w:rPr>
        <w:t xml:space="preserve">ood Tech, </w:t>
      </w:r>
      <w:r w:rsidR="00EB2024">
        <w:rPr>
          <w:rFonts w:ascii="Times" w:hAnsi="Times"/>
          <w:bCs/>
          <w:color w:val="000000" w:themeColor="text1"/>
        </w:rPr>
        <w:t>c</w:t>
      </w:r>
      <w:r w:rsidR="003312A0">
        <w:rPr>
          <w:rFonts w:ascii="Times" w:hAnsi="Times"/>
          <w:bCs/>
          <w:color w:val="000000" w:themeColor="text1"/>
        </w:rPr>
        <w:t xml:space="preserve">yber </w:t>
      </w:r>
      <w:r w:rsidR="00EB2024">
        <w:rPr>
          <w:rFonts w:ascii="Times" w:hAnsi="Times"/>
          <w:bCs/>
          <w:color w:val="000000" w:themeColor="text1"/>
        </w:rPr>
        <w:t>s</w:t>
      </w:r>
      <w:r w:rsidR="003312A0">
        <w:rPr>
          <w:rFonts w:ascii="Times" w:hAnsi="Times"/>
          <w:bCs/>
          <w:color w:val="000000" w:themeColor="text1"/>
        </w:rPr>
        <w:t xml:space="preserve">ecurity, </w:t>
      </w:r>
      <w:proofErr w:type="spellStart"/>
      <w:r w:rsidR="00EB2024">
        <w:rPr>
          <w:rFonts w:ascii="Times" w:hAnsi="Times"/>
          <w:bCs/>
          <w:color w:val="000000" w:themeColor="text1"/>
        </w:rPr>
        <w:t>w</w:t>
      </w:r>
      <w:r w:rsidR="003312A0">
        <w:rPr>
          <w:rFonts w:ascii="Times" w:hAnsi="Times"/>
          <w:bCs/>
          <w:color w:val="000000" w:themeColor="text1"/>
        </w:rPr>
        <w:t>ater</w:t>
      </w:r>
      <w:r w:rsidR="00EB2024">
        <w:rPr>
          <w:rFonts w:ascii="Times" w:hAnsi="Times"/>
          <w:bCs/>
          <w:color w:val="000000" w:themeColor="text1"/>
        </w:rPr>
        <w:t>t</w:t>
      </w:r>
      <w:r w:rsidR="003312A0">
        <w:rPr>
          <w:rFonts w:ascii="Times" w:hAnsi="Times"/>
          <w:bCs/>
          <w:color w:val="000000" w:themeColor="text1"/>
        </w:rPr>
        <w:t>ech</w:t>
      </w:r>
      <w:proofErr w:type="spellEnd"/>
      <w:r w:rsidR="003312A0">
        <w:rPr>
          <w:rFonts w:ascii="Times" w:hAnsi="Times"/>
          <w:bCs/>
          <w:color w:val="000000" w:themeColor="text1"/>
        </w:rPr>
        <w:t xml:space="preserve">, </w:t>
      </w:r>
      <w:r w:rsidR="00EB2024">
        <w:rPr>
          <w:rFonts w:ascii="Times" w:hAnsi="Times"/>
          <w:bCs/>
          <w:color w:val="000000" w:themeColor="text1"/>
        </w:rPr>
        <w:t>c</w:t>
      </w:r>
      <w:r w:rsidR="003312A0">
        <w:rPr>
          <w:rFonts w:ascii="Times" w:hAnsi="Times"/>
          <w:bCs/>
          <w:color w:val="000000" w:themeColor="text1"/>
        </w:rPr>
        <w:t>lean</w:t>
      </w:r>
      <w:r w:rsidR="00EB2024">
        <w:rPr>
          <w:rFonts w:ascii="Times" w:hAnsi="Times"/>
          <w:bCs/>
          <w:color w:val="000000" w:themeColor="text1"/>
        </w:rPr>
        <w:t>t</w:t>
      </w:r>
      <w:r w:rsidR="003312A0">
        <w:rPr>
          <w:rFonts w:ascii="Times" w:hAnsi="Times"/>
          <w:bCs/>
          <w:color w:val="000000" w:themeColor="text1"/>
        </w:rPr>
        <w:t>ech</w:t>
      </w:r>
      <w:r w:rsidR="00EB2024">
        <w:rPr>
          <w:rFonts w:ascii="Times" w:hAnsi="Times"/>
          <w:bCs/>
          <w:color w:val="000000" w:themeColor="text1"/>
        </w:rPr>
        <w:t>,</w:t>
      </w:r>
      <w:r w:rsidR="003312A0">
        <w:rPr>
          <w:rFonts w:ascii="Times" w:hAnsi="Times"/>
          <w:bCs/>
          <w:color w:val="000000" w:themeColor="text1"/>
        </w:rPr>
        <w:t xml:space="preserve"> </w:t>
      </w:r>
      <w:r w:rsidR="00EB2024">
        <w:rPr>
          <w:rFonts w:ascii="Times" w:hAnsi="Times"/>
          <w:bCs/>
          <w:color w:val="000000" w:themeColor="text1"/>
        </w:rPr>
        <w:t>f</w:t>
      </w:r>
      <w:r w:rsidR="003312A0">
        <w:rPr>
          <w:rFonts w:ascii="Times" w:hAnsi="Times"/>
          <w:bCs/>
          <w:color w:val="000000" w:themeColor="text1"/>
        </w:rPr>
        <w:t>in</w:t>
      </w:r>
      <w:r w:rsidR="00EB2024">
        <w:rPr>
          <w:rFonts w:ascii="Times" w:hAnsi="Times"/>
          <w:bCs/>
          <w:color w:val="000000" w:themeColor="text1"/>
        </w:rPr>
        <w:t>t</w:t>
      </w:r>
      <w:r w:rsidR="003312A0">
        <w:rPr>
          <w:rFonts w:ascii="Times" w:hAnsi="Times"/>
          <w:bCs/>
          <w:color w:val="000000" w:themeColor="text1"/>
        </w:rPr>
        <w:t xml:space="preserve">ech and </w:t>
      </w:r>
      <w:r w:rsidR="00EB2024">
        <w:rPr>
          <w:rFonts w:ascii="Times" w:hAnsi="Times"/>
          <w:bCs/>
          <w:color w:val="000000" w:themeColor="text1"/>
        </w:rPr>
        <w:t>p</w:t>
      </w:r>
      <w:r w:rsidR="003312A0">
        <w:rPr>
          <w:rFonts w:ascii="Times" w:hAnsi="Times"/>
          <w:bCs/>
          <w:color w:val="000000" w:themeColor="text1"/>
        </w:rPr>
        <w:t xml:space="preserve">harma and </w:t>
      </w:r>
      <w:r w:rsidR="00EB2024">
        <w:rPr>
          <w:rFonts w:ascii="Times" w:hAnsi="Times"/>
          <w:bCs/>
          <w:color w:val="000000" w:themeColor="text1"/>
        </w:rPr>
        <w:t>b</w:t>
      </w:r>
      <w:r w:rsidR="00A915BB">
        <w:rPr>
          <w:rFonts w:ascii="Times" w:hAnsi="Times"/>
          <w:bCs/>
          <w:color w:val="000000" w:themeColor="text1"/>
        </w:rPr>
        <w:t xml:space="preserve">iomedical </w:t>
      </w:r>
      <w:r w:rsidR="00EB2024">
        <w:rPr>
          <w:rFonts w:ascii="Times" w:hAnsi="Times"/>
          <w:bCs/>
          <w:color w:val="000000" w:themeColor="text1"/>
        </w:rPr>
        <w:t>d</w:t>
      </w:r>
      <w:r w:rsidR="00A915BB">
        <w:rPr>
          <w:rFonts w:ascii="Times" w:hAnsi="Times"/>
          <w:bCs/>
          <w:color w:val="000000" w:themeColor="text1"/>
        </w:rPr>
        <w:t>evices</w:t>
      </w:r>
      <w:r w:rsidR="0001585D">
        <w:rPr>
          <w:rFonts w:ascii="Times" w:hAnsi="Times"/>
          <w:bCs/>
          <w:color w:val="000000" w:themeColor="text1"/>
        </w:rPr>
        <w:t xml:space="preserve"> sectors</w:t>
      </w:r>
      <w:r w:rsidR="00A915BB">
        <w:rPr>
          <w:rFonts w:ascii="Times" w:hAnsi="Times"/>
          <w:bCs/>
          <w:color w:val="000000" w:themeColor="text1"/>
        </w:rPr>
        <w:t>.</w:t>
      </w:r>
      <w:r w:rsidR="003312A0">
        <w:rPr>
          <w:rFonts w:ascii="Times" w:hAnsi="Times"/>
          <w:bCs/>
          <w:color w:val="000000" w:themeColor="text1"/>
        </w:rPr>
        <w:t xml:space="preserve"> Such companies </w:t>
      </w:r>
      <w:r w:rsidR="00EB2024">
        <w:rPr>
          <w:rFonts w:ascii="Times" w:hAnsi="Times"/>
          <w:bCs/>
          <w:color w:val="000000" w:themeColor="text1"/>
        </w:rPr>
        <w:t>use</w:t>
      </w:r>
      <w:r w:rsidR="003312A0">
        <w:rPr>
          <w:rFonts w:ascii="Times" w:hAnsi="Times"/>
          <w:bCs/>
          <w:color w:val="000000" w:themeColor="text1"/>
        </w:rPr>
        <w:t xml:space="preserve"> </w:t>
      </w:r>
      <w:r w:rsidR="0001585D">
        <w:rPr>
          <w:rFonts w:ascii="Times" w:hAnsi="Times"/>
          <w:bCs/>
          <w:color w:val="000000" w:themeColor="text1"/>
        </w:rPr>
        <w:t xml:space="preserve">intellectual property protections </w:t>
      </w:r>
      <w:r w:rsidR="00EB2024">
        <w:rPr>
          <w:rFonts w:ascii="Times" w:hAnsi="Times"/>
          <w:bCs/>
          <w:color w:val="000000" w:themeColor="text1"/>
        </w:rPr>
        <w:t xml:space="preserve">to </w:t>
      </w:r>
      <w:r w:rsidR="0001585D">
        <w:rPr>
          <w:rFonts w:ascii="Times" w:hAnsi="Times"/>
          <w:bCs/>
          <w:color w:val="000000" w:themeColor="text1"/>
        </w:rPr>
        <w:t>both shield</w:t>
      </w:r>
      <w:r w:rsidR="00EB2024">
        <w:rPr>
          <w:rFonts w:ascii="Times" w:hAnsi="Times"/>
          <w:bCs/>
          <w:color w:val="000000" w:themeColor="text1"/>
        </w:rPr>
        <w:t xml:space="preserve"> the</w:t>
      </w:r>
      <w:r w:rsidR="0001585D">
        <w:rPr>
          <w:rFonts w:ascii="Times" w:hAnsi="Times"/>
          <w:bCs/>
          <w:color w:val="000000" w:themeColor="text1"/>
        </w:rPr>
        <w:t xml:space="preserve"> fruits of their</w:t>
      </w:r>
      <w:r w:rsidR="00EB2024">
        <w:rPr>
          <w:rFonts w:ascii="Times" w:hAnsi="Times"/>
          <w:bCs/>
          <w:color w:val="000000" w:themeColor="text1"/>
        </w:rPr>
        <w:t xml:space="preserve"> </w:t>
      </w:r>
      <w:r w:rsidR="0001585D">
        <w:rPr>
          <w:rFonts w:ascii="Times" w:hAnsi="Times"/>
          <w:bCs/>
          <w:color w:val="000000" w:themeColor="text1"/>
        </w:rPr>
        <w:t>creativity and innovation efforts from copying and theft by others, and as means to raise capital. This course will provide a survey of copyright, design, patent, trademark and trade secret laws in a comparative Israeli and U.S. perspective, geared toward a non-lawyer audienc</w:t>
      </w:r>
      <w:r w:rsidR="00DA7956">
        <w:rPr>
          <w:rFonts w:ascii="Times" w:hAnsi="Times"/>
          <w:bCs/>
          <w:color w:val="000000" w:themeColor="text1"/>
        </w:rPr>
        <w:t xml:space="preserve">e. Applications to the life sciences will be emphasized. </w:t>
      </w:r>
    </w:p>
    <w:p w14:paraId="23B42C04" w14:textId="77777777" w:rsidR="00634A75" w:rsidRPr="008C635F" w:rsidRDefault="00634A75" w:rsidP="00634A75">
      <w:pPr>
        <w:pStyle w:val="WPNormal"/>
        <w:ind w:left="360"/>
        <w:rPr>
          <w:rFonts w:ascii="Times" w:hAnsi="Times"/>
          <w:b/>
          <w:color w:val="000000" w:themeColor="text1"/>
        </w:rPr>
      </w:pPr>
    </w:p>
    <w:p w14:paraId="520947F4" w14:textId="77777777" w:rsidR="0014634C" w:rsidRPr="008C635F" w:rsidRDefault="0014634C" w:rsidP="00634A75">
      <w:pPr>
        <w:pStyle w:val="WPNormal"/>
        <w:ind w:left="360"/>
        <w:rPr>
          <w:rFonts w:ascii="Times" w:hAnsi="Times"/>
          <w:b/>
          <w:color w:val="000000" w:themeColor="text1"/>
        </w:rPr>
      </w:pPr>
    </w:p>
    <w:p w14:paraId="491A45D0" w14:textId="77777777" w:rsidR="0014634C" w:rsidRPr="008C635F" w:rsidRDefault="0014634C" w:rsidP="0001585D">
      <w:pPr>
        <w:pStyle w:val="WPNormal"/>
        <w:rPr>
          <w:rFonts w:ascii="Times" w:hAnsi="Times"/>
          <w:b/>
          <w:color w:val="000000" w:themeColor="text1"/>
        </w:rPr>
      </w:pPr>
    </w:p>
    <w:p w14:paraId="0FF5252A" w14:textId="77777777" w:rsidR="00461D77" w:rsidRPr="008C635F" w:rsidRDefault="00461D77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64D5AB34" w14:textId="77777777" w:rsidR="006B4201" w:rsidRPr="008C635F" w:rsidRDefault="006B4201" w:rsidP="00634A75">
      <w:pPr>
        <w:pStyle w:val="WPNormal"/>
        <w:ind w:left="360"/>
        <w:rPr>
          <w:rFonts w:ascii="Times" w:hAnsi="Times"/>
          <w:bCs/>
          <w:color w:val="000000" w:themeColor="text1"/>
        </w:rPr>
      </w:pPr>
    </w:p>
    <w:p w14:paraId="7415DB8E" w14:textId="77777777" w:rsidR="00634A75" w:rsidRPr="008C635F" w:rsidRDefault="00634A75" w:rsidP="00634A75">
      <w:pPr>
        <w:pStyle w:val="WPNormal"/>
        <w:ind w:left="360"/>
        <w:rPr>
          <w:rFonts w:ascii="Times" w:hAnsi="Times"/>
          <w:bCs/>
          <w:color w:val="000000" w:themeColor="text1"/>
        </w:rPr>
      </w:pPr>
    </w:p>
    <w:p w14:paraId="0594C57C" w14:textId="77777777" w:rsidR="00A909C2" w:rsidRPr="008C635F" w:rsidRDefault="00A909C2" w:rsidP="00634A75">
      <w:pPr>
        <w:pStyle w:val="Default"/>
        <w:rPr>
          <w:color w:val="000000" w:themeColor="text1"/>
        </w:rPr>
      </w:pPr>
    </w:p>
    <w:p w14:paraId="3768D2EE" w14:textId="77777777" w:rsidR="0014634C" w:rsidRPr="008C635F" w:rsidRDefault="0014634C" w:rsidP="00634A75">
      <w:pPr>
        <w:pStyle w:val="Default"/>
        <w:rPr>
          <w:color w:val="000000" w:themeColor="text1"/>
        </w:rPr>
      </w:pPr>
    </w:p>
    <w:p w14:paraId="4B70C6BB" w14:textId="77777777" w:rsidR="0014634C" w:rsidRPr="008C635F" w:rsidRDefault="0014634C" w:rsidP="00634A75">
      <w:pPr>
        <w:pStyle w:val="Default"/>
        <w:rPr>
          <w:color w:val="000000" w:themeColor="text1"/>
        </w:rPr>
      </w:pPr>
    </w:p>
    <w:p w14:paraId="4084DEB5" w14:textId="77777777" w:rsidR="00B21261" w:rsidRPr="008C635F" w:rsidRDefault="00A909C2" w:rsidP="00634A75">
      <w:pPr>
        <w:pStyle w:val="Default"/>
        <w:rPr>
          <w:rFonts w:ascii="Times" w:hAnsi="Times"/>
          <w:bCs/>
          <w:color w:val="000000" w:themeColor="text1"/>
        </w:rPr>
      </w:pPr>
      <w:r w:rsidRPr="008C635F">
        <w:rPr>
          <w:color w:val="000000" w:themeColor="text1"/>
        </w:rPr>
        <w:lastRenderedPageBreak/>
        <w:t xml:space="preserve"> </w:t>
      </w:r>
    </w:p>
    <w:p w14:paraId="44609960" w14:textId="46BE32F6" w:rsidR="00461D77" w:rsidRPr="008C635F" w:rsidRDefault="00C12AA1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 xml:space="preserve">Course </w:t>
      </w:r>
      <w:r w:rsidR="00FA7897" w:rsidRPr="008C635F">
        <w:rPr>
          <w:rFonts w:ascii="Times" w:hAnsi="Times"/>
          <w:b/>
          <w:color w:val="000000" w:themeColor="text1"/>
        </w:rPr>
        <w:t>C</w:t>
      </w:r>
      <w:r w:rsidR="00613034" w:rsidRPr="008C635F">
        <w:rPr>
          <w:rFonts w:ascii="Times" w:hAnsi="Times"/>
          <w:b/>
          <w:color w:val="000000" w:themeColor="text1"/>
        </w:rPr>
        <w:t>ontent/</w:t>
      </w:r>
      <w:r w:rsidR="00FA7897" w:rsidRPr="008C635F">
        <w:rPr>
          <w:rFonts w:ascii="Times" w:hAnsi="Times"/>
          <w:b/>
          <w:color w:val="000000" w:themeColor="text1"/>
        </w:rPr>
        <w:t>T</w:t>
      </w:r>
      <w:r w:rsidRPr="008C635F">
        <w:rPr>
          <w:rFonts w:ascii="Times" w:hAnsi="Times"/>
          <w:b/>
          <w:color w:val="000000" w:themeColor="text1"/>
        </w:rPr>
        <w:t>opics</w:t>
      </w:r>
      <w:r w:rsidR="009D4A5D">
        <w:rPr>
          <w:rFonts w:ascii="Times" w:hAnsi="Times"/>
          <w:b/>
          <w:color w:val="000000" w:themeColor="text1"/>
        </w:rPr>
        <w:t xml:space="preserve"> &amp; Syllabus</w:t>
      </w:r>
    </w:p>
    <w:p w14:paraId="48E8C6A0" w14:textId="50B729FB" w:rsidR="008613F6" w:rsidRDefault="008613F6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15C43D99" w14:textId="2117A53B" w:rsidR="002E7FFD" w:rsidRDefault="002E7FFD" w:rsidP="00634A75">
      <w:pPr>
        <w:pStyle w:val="WPNormal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Below is a </w:t>
      </w:r>
      <w:r w:rsidR="009D4A5D">
        <w:rPr>
          <w:rFonts w:ascii="Times" w:hAnsi="Times"/>
          <w:bCs/>
          <w:color w:val="000000" w:themeColor="text1"/>
        </w:rPr>
        <w:t>preliminary</w:t>
      </w:r>
      <w:r>
        <w:rPr>
          <w:rFonts w:ascii="Times" w:hAnsi="Times"/>
          <w:bCs/>
          <w:color w:val="000000" w:themeColor="text1"/>
        </w:rPr>
        <w:t xml:space="preserve"> syllabus. It will be updated, and </w:t>
      </w:r>
      <w:proofErr w:type="gramStart"/>
      <w:r>
        <w:rPr>
          <w:rFonts w:ascii="Times" w:hAnsi="Times"/>
          <w:bCs/>
          <w:color w:val="000000" w:themeColor="text1"/>
        </w:rPr>
        <w:t>particular reading</w:t>
      </w:r>
      <w:proofErr w:type="gramEnd"/>
      <w:r>
        <w:rPr>
          <w:rFonts w:ascii="Times" w:hAnsi="Times"/>
          <w:bCs/>
          <w:color w:val="000000" w:themeColor="text1"/>
        </w:rPr>
        <w:t xml:space="preserve"> assignments will be given ahead of each meeting. </w:t>
      </w:r>
    </w:p>
    <w:p w14:paraId="1DD26551" w14:textId="4F8AAAB8" w:rsidR="002E7FFD" w:rsidRPr="008C635F" w:rsidRDefault="002E7FFD" w:rsidP="00634A75">
      <w:pPr>
        <w:pStyle w:val="WPNormal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 xml:space="preserve"> </w:t>
      </w:r>
    </w:p>
    <w:p w14:paraId="2518BE4B" w14:textId="7C0EDB97" w:rsidR="00B7568B" w:rsidRPr="0016747F" w:rsidRDefault="00682F11" w:rsidP="0016747F">
      <w:pPr>
        <w:rPr>
          <w:rFonts w:ascii="Times New Roman" w:hAnsi="Times New Roman"/>
          <w:lang w:bidi="he-IL"/>
        </w:rPr>
      </w:pPr>
      <w:r w:rsidRPr="00AE7F44">
        <w:rPr>
          <w:rFonts w:ascii="Times New Roman" w:hAnsi="Times New Roman"/>
        </w:rPr>
        <w:t xml:space="preserve">CB (Casebook) refers to </w:t>
      </w:r>
      <w:r w:rsidRPr="00AE7F44">
        <w:rPr>
          <w:rFonts w:ascii="Times New Roman" w:hAnsi="Times New Roman"/>
          <w:lang w:bidi="he-IL"/>
        </w:rPr>
        <w:t xml:space="preserve">Jason </w:t>
      </w:r>
      <w:proofErr w:type="spellStart"/>
      <w:r w:rsidRPr="00AE7F44">
        <w:rPr>
          <w:rFonts w:ascii="Times New Roman" w:hAnsi="Times New Roman"/>
          <w:lang w:bidi="he-IL"/>
        </w:rPr>
        <w:t>Rantanen</w:t>
      </w:r>
      <w:proofErr w:type="spellEnd"/>
      <w:r w:rsidRPr="00AE7F44">
        <w:rPr>
          <w:rFonts w:ascii="Times New Roman" w:hAnsi="Times New Roman"/>
          <w:lang w:bidi="he-IL"/>
        </w:rPr>
        <w:t xml:space="preserve">, </w:t>
      </w:r>
      <w:hyperlink r:id="rId9" w:history="1">
        <w:r w:rsidRPr="00AE7F44">
          <w:rPr>
            <w:rStyle w:val="Hyperlink"/>
            <w:rFonts w:ascii="Times New Roman" w:hAnsi="Times New Roman"/>
            <w:lang w:bidi="he-IL"/>
          </w:rPr>
          <w:t>Introduction to Intellectual Property</w:t>
        </w:r>
      </w:hyperlink>
      <w:r w:rsidRPr="00AE7F44">
        <w:rPr>
          <w:rFonts w:ascii="Times New Roman" w:hAnsi="Times New Roman"/>
          <w:lang w:bidi="he-IL"/>
        </w:rPr>
        <w:t xml:space="preserve"> (2021)</w:t>
      </w:r>
    </w:p>
    <w:p w14:paraId="6FFAC885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Copyright law </w:t>
      </w:r>
    </w:p>
    <w:p w14:paraId="02EB8B6F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Copyright Act of 1976, 17 U.S.C. §§ </w:t>
      </w:r>
      <w:hyperlink r:id="rId10" w:history="1">
        <w:r w:rsidRPr="0016747F">
          <w:rPr>
            <w:rStyle w:val="Hyperlink"/>
            <w:b w:val="0"/>
            <w:bCs w:val="0"/>
            <w:sz w:val="22"/>
            <w:szCs w:val="22"/>
          </w:rPr>
          <w:t>102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1" w:history="1">
        <w:r w:rsidRPr="0016747F">
          <w:rPr>
            <w:rStyle w:val="Hyperlink"/>
            <w:b w:val="0"/>
            <w:bCs w:val="0"/>
            <w:sz w:val="22"/>
            <w:szCs w:val="22"/>
          </w:rPr>
          <w:t>103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2" w:history="1">
        <w:r w:rsidRPr="0016747F">
          <w:rPr>
            <w:rStyle w:val="Hyperlink"/>
            <w:b w:val="0"/>
            <w:bCs w:val="0"/>
            <w:sz w:val="22"/>
            <w:szCs w:val="22"/>
          </w:rPr>
          <w:t>106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3" w:history="1">
        <w:r w:rsidRPr="0016747F">
          <w:rPr>
            <w:rStyle w:val="Hyperlink"/>
            <w:b w:val="0"/>
            <w:bCs w:val="0"/>
            <w:sz w:val="22"/>
            <w:szCs w:val="22"/>
          </w:rPr>
          <w:t>106A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4" w:history="1">
        <w:r w:rsidRPr="0016747F">
          <w:rPr>
            <w:rStyle w:val="Hyperlink"/>
            <w:b w:val="0"/>
            <w:bCs w:val="0"/>
            <w:sz w:val="22"/>
            <w:szCs w:val="22"/>
          </w:rPr>
          <w:t>107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5" w:history="1">
        <w:r w:rsidRPr="0016747F">
          <w:rPr>
            <w:rStyle w:val="Hyperlink"/>
            <w:b w:val="0"/>
            <w:bCs w:val="0"/>
            <w:sz w:val="22"/>
            <w:szCs w:val="22"/>
          </w:rPr>
          <w:t>201</w:t>
        </w:r>
      </w:hyperlink>
      <w:r w:rsidRPr="0016747F">
        <w:rPr>
          <w:b w:val="0"/>
          <w:bCs w:val="0"/>
          <w:sz w:val="22"/>
          <w:szCs w:val="22"/>
        </w:rPr>
        <w:t xml:space="preserve">(a)-(b), </w:t>
      </w:r>
      <w:hyperlink r:id="rId16" w:history="1">
        <w:r w:rsidRPr="0016747F">
          <w:rPr>
            <w:rStyle w:val="Hyperlink"/>
            <w:b w:val="0"/>
            <w:bCs w:val="0"/>
            <w:sz w:val="22"/>
            <w:szCs w:val="22"/>
          </w:rPr>
          <w:t>202</w:t>
        </w:r>
      </w:hyperlink>
      <w:r w:rsidRPr="0016747F">
        <w:rPr>
          <w:b w:val="0"/>
          <w:bCs w:val="0"/>
          <w:sz w:val="22"/>
          <w:szCs w:val="22"/>
        </w:rPr>
        <w:t xml:space="preserve">, </w:t>
      </w:r>
      <w:hyperlink r:id="rId17" w:history="1">
        <w:r w:rsidRPr="0016747F">
          <w:rPr>
            <w:rStyle w:val="Hyperlink"/>
            <w:b w:val="0"/>
            <w:bCs w:val="0"/>
            <w:sz w:val="22"/>
            <w:szCs w:val="22"/>
          </w:rPr>
          <w:t>302</w:t>
        </w:r>
      </w:hyperlink>
      <w:r w:rsidRPr="0016747F">
        <w:rPr>
          <w:b w:val="0"/>
          <w:bCs w:val="0"/>
          <w:sz w:val="22"/>
          <w:szCs w:val="22"/>
        </w:rPr>
        <w:t xml:space="preserve">(a), </w:t>
      </w:r>
      <w:hyperlink r:id="rId18" w:history="1">
        <w:r w:rsidRPr="0016747F">
          <w:rPr>
            <w:rStyle w:val="Hyperlink"/>
            <w:b w:val="0"/>
            <w:bCs w:val="0"/>
            <w:sz w:val="22"/>
            <w:szCs w:val="22"/>
          </w:rPr>
          <w:t>501</w:t>
        </w:r>
      </w:hyperlink>
      <w:r w:rsidRPr="0016747F">
        <w:rPr>
          <w:b w:val="0"/>
          <w:bCs w:val="0"/>
          <w:sz w:val="22"/>
          <w:szCs w:val="22"/>
        </w:rPr>
        <w:t xml:space="preserve">(a), </w:t>
      </w:r>
      <w:hyperlink r:id="rId19" w:history="1">
        <w:r w:rsidRPr="0016747F">
          <w:rPr>
            <w:rStyle w:val="Hyperlink"/>
            <w:b w:val="0"/>
            <w:bCs w:val="0"/>
            <w:sz w:val="22"/>
            <w:szCs w:val="22"/>
          </w:rPr>
          <w:t>512</w:t>
        </w:r>
      </w:hyperlink>
      <w:r w:rsidRPr="0016747F">
        <w:rPr>
          <w:b w:val="0"/>
          <w:bCs w:val="0"/>
          <w:sz w:val="22"/>
          <w:szCs w:val="22"/>
        </w:rPr>
        <w:t xml:space="preserve">(c)(1), </w:t>
      </w:r>
      <w:hyperlink r:id="rId20" w:history="1">
        <w:r w:rsidRPr="0016747F">
          <w:rPr>
            <w:rStyle w:val="Hyperlink"/>
            <w:b w:val="0"/>
            <w:bCs w:val="0"/>
            <w:sz w:val="22"/>
            <w:szCs w:val="22"/>
          </w:rPr>
          <w:t>1201</w:t>
        </w:r>
      </w:hyperlink>
      <w:r w:rsidRPr="0016747F">
        <w:rPr>
          <w:b w:val="0"/>
          <w:bCs w:val="0"/>
          <w:sz w:val="22"/>
          <w:szCs w:val="22"/>
        </w:rPr>
        <w:t>(a)-(b)</w:t>
      </w:r>
    </w:p>
    <w:p w14:paraId="2150D135" w14:textId="6480D225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</w:rPr>
        <w:t>Feist. v. Rural, 499 U.S. 340 (1991) (CB pp. 30-42)</w:t>
      </w:r>
      <w:r w:rsidR="0016747F">
        <w:rPr>
          <w:b w:val="0"/>
          <w:bCs w:val="0"/>
          <w:sz w:val="22"/>
          <w:szCs w:val="22"/>
        </w:rPr>
        <w:t xml:space="preserve"> (originality)</w:t>
      </w:r>
    </w:p>
    <w:p w14:paraId="3476945B" w14:textId="785A7FB3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Baker v. Selden, 101 U.S. 99 (1879) (CB pp. 45-49)</w:t>
      </w:r>
      <w:r w:rsidR="0016747F">
        <w:rPr>
          <w:b w:val="0"/>
          <w:bCs w:val="0"/>
          <w:sz w:val="22"/>
          <w:szCs w:val="22"/>
        </w:rPr>
        <w:t xml:space="preserve"> (idea/expression dichotomy)</w:t>
      </w:r>
    </w:p>
    <w:p w14:paraId="44263715" w14:textId="2C8DCA41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CCNV v. Reid, 490 U.S. 730 (1989) (CB pp. 51-55, 62-63)</w:t>
      </w:r>
      <w:r w:rsidR="0016747F">
        <w:rPr>
          <w:b w:val="0"/>
          <w:bCs w:val="0"/>
          <w:sz w:val="22"/>
          <w:szCs w:val="22"/>
        </w:rPr>
        <w:t xml:space="preserve"> (authorship)</w:t>
      </w:r>
    </w:p>
    <w:p w14:paraId="091BFA2C" w14:textId="0AAD887F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Nichols v. Universal, 45 F.2d 119 (2d Cir. 1930) (CB pp. 102-106)</w:t>
      </w:r>
      <w:r w:rsidR="0016747F">
        <w:rPr>
          <w:b w:val="0"/>
          <w:bCs w:val="0"/>
          <w:sz w:val="22"/>
          <w:szCs w:val="22"/>
        </w:rPr>
        <w:t xml:space="preserve"> (infringement)</w:t>
      </w:r>
    </w:p>
    <w:p w14:paraId="11591FC9" w14:textId="2533E332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Picket v. Prince, 207 F.3d 402 (7th Cir. 2000) (CB pp. 109-114)</w:t>
      </w:r>
      <w:r w:rsidR="0016747F">
        <w:rPr>
          <w:b w:val="0"/>
          <w:bCs w:val="0"/>
          <w:sz w:val="22"/>
          <w:szCs w:val="22"/>
        </w:rPr>
        <w:t xml:space="preserve"> (derivative works)</w:t>
      </w:r>
    </w:p>
    <w:p w14:paraId="23252588" w14:textId="5DEC23D3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Campbell v. Acuff-Rose, 510 U.S. 569 (1994) (CB pp. 117-130)</w:t>
      </w:r>
      <w:r w:rsidR="0016747F">
        <w:rPr>
          <w:b w:val="0"/>
          <w:bCs w:val="0"/>
          <w:sz w:val="22"/>
          <w:szCs w:val="22"/>
        </w:rPr>
        <w:t xml:space="preserve"> (fair use)</w:t>
      </w:r>
    </w:p>
    <w:p w14:paraId="631D9F22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חוק זכויות יוצרים, התשס״ח-2007</w:t>
      </w:r>
    </w:p>
    <w:p w14:paraId="026EB532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פקודת זכויות יוצרים, 1924</w:t>
      </w:r>
    </w:p>
    <w:p w14:paraId="6C29EA78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חוק זכויות מבצעים ומשדרים, התשמ״ד-1984</w:t>
      </w:r>
    </w:p>
    <w:p w14:paraId="1F14FD5A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513/89 </w:t>
      </w:r>
      <w:proofErr w:type="spellStart"/>
      <w:r w:rsidRPr="0016747F">
        <w:rPr>
          <w:b w:val="0"/>
          <w:bCs w:val="0"/>
          <w:sz w:val="22"/>
          <w:szCs w:val="22"/>
        </w:rPr>
        <w:t>Interlego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נ׳ </w:t>
      </w:r>
      <w:proofErr w:type="spellStart"/>
      <w:r w:rsidRPr="0016747F">
        <w:rPr>
          <w:b w:val="0"/>
          <w:bCs w:val="0"/>
          <w:sz w:val="22"/>
          <w:szCs w:val="22"/>
        </w:rPr>
        <w:t>Exin</w:t>
      </w:r>
      <w:proofErr w:type="spellEnd"/>
      <w:r w:rsidRPr="0016747F">
        <w:rPr>
          <w:b w:val="0"/>
          <w:bCs w:val="0"/>
          <w:sz w:val="22"/>
          <w:szCs w:val="22"/>
        </w:rPr>
        <w:t>-Lines</w:t>
      </w:r>
      <w:r w:rsidRPr="0016747F">
        <w:rPr>
          <w:b w:val="0"/>
          <w:bCs w:val="0"/>
          <w:sz w:val="22"/>
          <w:szCs w:val="22"/>
          <w:rtl/>
        </w:rPr>
        <w:t>, פ״ד מח(4) 133</w:t>
      </w:r>
    </w:p>
    <w:p w14:paraId="03482490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8485/08 </w:t>
      </w:r>
      <w:r w:rsidRPr="0016747F">
        <w:rPr>
          <w:b w:val="0"/>
          <w:bCs w:val="0"/>
          <w:sz w:val="22"/>
          <w:szCs w:val="22"/>
        </w:rPr>
        <w:t>Premier League</w:t>
      </w:r>
      <w:r w:rsidRPr="0016747F">
        <w:rPr>
          <w:b w:val="0"/>
          <w:bCs w:val="0"/>
          <w:sz w:val="22"/>
          <w:szCs w:val="22"/>
          <w:rtl/>
        </w:rPr>
        <w:t xml:space="preserve"> נ׳ המועצה להסדר ההימורים בספורט (2010)</w:t>
      </w:r>
    </w:p>
    <w:p w14:paraId="01AF6B01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</w:t>
      </w:r>
      <w:r w:rsidRPr="0016747F">
        <w:rPr>
          <w:b w:val="0"/>
          <w:bCs w:val="0"/>
          <w:sz w:val="22"/>
          <w:szCs w:val="22"/>
        </w:rPr>
        <w:t>2173/94</w:t>
      </w:r>
      <w:r w:rsidRPr="0016747F">
        <w:rPr>
          <w:b w:val="0"/>
          <w:bCs w:val="0"/>
          <w:sz w:val="22"/>
          <w:szCs w:val="22"/>
          <w:rtl/>
        </w:rPr>
        <w:t xml:space="preserve"> </w:t>
      </w:r>
      <w:r w:rsidRPr="0016747F">
        <w:rPr>
          <w:b w:val="0"/>
          <w:bCs w:val="0"/>
          <w:sz w:val="22"/>
          <w:szCs w:val="22"/>
        </w:rPr>
        <w:t>Tele Event Ltd.</w:t>
      </w:r>
      <w:r w:rsidRPr="0016747F">
        <w:rPr>
          <w:b w:val="0"/>
          <w:bCs w:val="0"/>
          <w:sz w:val="22"/>
          <w:szCs w:val="22"/>
          <w:rtl/>
        </w:rPr>
        <w:t xml:space="preserve"> נ׳ ערוצי זהב ושות׳,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נה</w:t>
      </w:r>
      <w:proofErr w:type="spellEnd"/>
      <w:r w:rsidRPr="0016747F">
        <w:rPr>
          <w:b w:val="0"/>
          <w:bCs w:val="0"/>
          <w:sz w:val="22"/>
          <w:szCs w:val="22"/>
          <w:rtl/>
        </w:rPr>
        <w:t>(5) 529</w:t>
      </w:r>
    </w:p>
    <w:p w14:paraId="41A8ABC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8393/96 מפעל הפיס ואח׳ נ׳ </w:t>
      </w:r>
      <w:r w:rsidRPr="0016747F">
        <w:rPr>
          <w:b w:val="0"/>
          <w:bCs w:val="0"/>
          <w:sz w:val="22"/>
          <w:szCs w:val="22"/>
        </w:rPr>
        <w:t>The Roy Establishment Company</w:t>
      </w:r>
      <w:r w:rsidRPr="0016747F">
        <w:rPr>
          <w:b w:val="0"/>
          <w:bCs w:val="0"/>
          <w:sz w:val="22"/>
          <w:szCs w:val="22"/>
          <w:rtl/>
        </w:rPr>
        <w:t xml:space="preserve"> ואח׳, פ״ד נד(1) 577</w:t>
      </w:r>
    </w:p>
    <w:p w14:paraId="7ED3CF46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ע״א 139/89 הרפז נ׳ אחיטוב, פ״ד מד(4)</w:t>
      </w:r>
    </w:p>
    <w:p w14:paraId="1EC3BA00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רע״א 2687/92 גבע נ׳ חברת וולט דיסני, פ״ד מח(1)</w:t>
      </w:r>
      <w:r w:rsidRPr="0016747F">
        <w:rPr>
          <w:b w:val="0"/>
          <w:bCs w:val="0"/>
          <w:sz w:val="22"/>
          <w:szCs w:val="22"/>
        </w:rPr>
        <w:t xml:space="preserve"> </w:t>
      </w:r>
      <w:r w:rsidRPr="0016747F">
        <w:rPr>
          <w:b w:val="0"/>
          <w:bCs w:val="0"/>
          <w:sz w:val="22"/>
          <w:szCs w:val="22"/>
          <w:rtl/>
        </w:rPr>
        <w:t>251</w:t>
      </w:r>
    </w:p>
    <w:p w14:paraId="55C3585B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ע״א 15/81 גולדנברג נ׳ בנט, פ״ד לו(2)</w:t>
      </w:r>
      <w:r w:rsidRPr="0016747F">
        <w:rPr>
          <w:b w:val="0"/>
          <w:bCs w:val="0"/>
          <w:sz w:val="22"/>
          <w:szCs w:val="22"/>
        </w:rPr>
        <w:t xml:space="preserve"> </w:t>
      </w:r>
      <w:r w:rsidRPr="0016747F">
        <w:rPr>
          <w:b w:val="0"/>
          <w:bCs w:val="0"/>
          <w:sz w:val="22"/>
          <w:szCs w:val="22"/>
          <w:rtl/>
        </w:rPr>
        <w:t>813</w:t>
      </w:r>
    </w:p>
    <w:p w14:paraId="42218A67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9183/09 </w:t>
      </w:r>
      <w:r w:rsidRPr="0016747F">
        <w:rPr>
          <w:b w:val="0"/>
          <w:bCs w:val="0"/>
          <w:sz w:val="22"/>
          <w:szCs w:val="22"/>
        </w:rPr>
        <w:t>Premier League</w:t>
      </w:r>
      <w:r w:rsidRPr="0016747F">
        <w:rPr>
          <w:b w:val="0"/>
          <w:bCs w:val="0"/>
          <w:sz w:val="22"/>
          <w:szCs w:val="22"/>
          <w:rtl/>
        </w:rPr>
        <w:t xml:space="preserve"> נ׳ פלוני (2012)</w:t>
      </w:r>
    </w:p>
    <w:p w14:paraId="1BC7681D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ת״א (מחוזי מרכז) 567-08-09 </w:t>
      </w:r>
      <w:proofErr w:type="spellStart"/>
      <w:r w:rsidRPr="0016747F">
        <w:rPr>
          <w:b w:val="0"/>
          <w:bCs w:val="0"/>
          <w:sz w:val="22"/>
          <w:szCs w:val="22"/>
          <w:rtl/>
        </w:rPr>
        <w:t>א.ל.י.ס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נ׳ </w:t>
      </w:r>
      <w:proofErr w:type="spellStart"/>
      <w:r w:rsidRPr="0016747F">
        <w:rPr>
          <w:b w:val="0"/>
          <w:bCs w:val="0"/>
          <w:sz w:val="22"/>
          <w:szCs w:val="22"/>
          <w:rtl/>
        </w:rPr>
        <w:t>רוטר.נט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(2011)</w:t>
      </w:r>
    </w:p>
    <w:p w14:paraId="4BF1DA14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ע״א 5097/11 </w:t>
      </w:r>
      <w:proofErr w:type="spellStart"/>
      <w:r w:rsidRPr="0016747F">
        <w:rPr>
          <w:b w:val="0"/>
          <w:bCs w:val="0"/>
          <w:sz w:val="22"/>
          <w:szCs w:val="22"/>
          <w:rtl/>
        </w:rPr>
        <w:t>טלראן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נ׳ </w:t>
      </w:r>
      <w:proofErr w:type="spellStart"/>
      <w:r w:rsidRPr="0016747F">
        <w:rPr>
          <w:b w:val="0"/>
          <w:bCs w:val="0"/>
          <w:sz w:val="22"/>
          <w:szCs w:val="22"/>
          <w:rtl/>
        </w:rPr>
        <w:t>צ׳רלטון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(2013)</w:t>
      </w:r>
    </w:p>
    <w:p w14:paraId="18481E4A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>ע״א 5977/07 האוניברסיטה העברית נ׳ בית שוקן (2011)</w:t>
      </w:r>
    </w:p>
    <w:p w14:paraId="21BEBB60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  <w:u w:val="single"/>
          <w:lang w:bidi="ar-SA"/>
        </w:rPr>
      </w:pPr>
      <w:r w:rsidRPr="0016747F">
        <w:rPr>
          <w:b w:val="0"/>
          <w:bCs w:val="0"/>
          <w:sz w:val="22"/>
          <w:szCs w:val="22"/>
          <w:rtl/>
        </w:rPr>
        <w:t xml:space="preserve">רע״א 6141/02 אקו״ם נ׳ גלי צה״ל,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נז</w:t>
      </w:r>
      <w:proofErr w:type="spellEnd"/>
      <w:r w:rsidRPr="0016747F">
        <w:rPr>
          <w:b w:val="0"/>
          <w:bCs w:val="0"/>
          <w:sz w:val="22"/>
          <w:szCs w:val="22"/>
          <w:rtl/>
        </w:rPr>
        <w:t>(1)</w:t>
      </w:r>
      <w:r w:rsidRPr="0016747F">
        <w:rPr>
          <w:b w:val="0"/>
          <w:bCs w:val="0"/>
          <w:sz w:val="22"/>
          <w:szCs w:val="22"/>
        </w:rPr>
        <w:t xml:space="preserve"> </w:t>
      </w:r>
      <w:r w:rsidRPr="0016747F">
        <w:rPr>
          <w:b w:val="0"/>
          <w:bCs w:val="0"/>
          <w:sz w:val="22"/>
          <w:szCs w:val="22"/>
          <w:rtl/>
        </w:rPr>
        <w:t>625</w:t>
      </w:r>
    </w:p>
    <w:p w14:paraId="2D271816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Perspective #1: Theories of IP</w:t>
      </w:r>
    </w:p>
    <w:p w14:paraId="4FD3BF09" w14:textId="77777777" w:rsidR="00682F11" w:rsidRPr="0016747F" w:rsidRDefault="00371187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hyperlink r:id="rId21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>U.S. Const., art. I, § 8</w:t>
        </w:r>
      </w:hyperlink>
      <w:r w:rsidR="00682F11" w:rsidRPr="0016747F">
        <w:rPr>
          <w:b w:val="0"/>
          <w:bCs w:val="0"/>
          <w:sz w:val="22"/>
          <w:szCs w:val="22"/>
        </w:rPr>
        <w:t xml:space="preserve">, cl. 8 (“Congress shall have power […] [t]o </w:t>
      </w:r>
      <w:proofErr w:type="gramStart"/>
      <w:r w:rsidR="00682F11" w:rsidRPr="0016747F">
        <w:rPr>
          <w:b w:val="0"/>
          <w:bCs w:val="0"/>
          <w:sz w:val="22"/>
          <w:szCs w:val="22"/>
        </w:rPr>
        <w:t>promote</w:t>
      </w:r>
      <w:proofErr w:type="gramEnd"/>
      <w:r w:rsidR="00682F11" w:rsidRPr="0016747F">
        <w:rPr>
          <w:b w:val="0"/>
          <w:bCs w:val="0"/>
          <w:sz w:val="22"/>
          <w:szCs w:val="22"/>
        </w:rPr>
        <w:t xml:space="preserve"> the progress of science and useful arts, by securing for limited times to authors and inventors the exclusive right to their respective writings and discoveries”)</w:t>
      </w:r>
    </w:p>
    <w:p w14:paraId="09549B35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  <w:lang w:bidi="ar-SA"/>
        </w:rPr>
      </w:pPr>
      <w:r w:rsidRPr="0016747F">
        <w:rPr>
          <w:b w:val="0"/>
          <w:bCs w:val="0"/>
          <w:sz w:val="22"/>
          <w:szCs w:val="22"/>
        </w:rPr>
        <w:t>CB pp. 13-26</w:t>
      </w:r>
    </w:p>
    <w:p w14:paraId="0DD2F90E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  <w:lang w:bidi="ar-SA"/>
        </w:rPr>
      </w:pPr>
      <w:r w:rsidRPr="0016747F">
        <w:rPr>
          <w:b w:val="0"/>
          <w:bCs w:val="0"/>
          <w:sz w:val="22"/>
          <w:szCs w:val="22"/>
        </w:rPr>
        <w:t>Patent and Trade Secret Law</w:t>
      </w:r>
    </w:p>
    <w:p w14:paraId="71A9356C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Bowman v. Monsanto, 569 U.S. 278 (2013) (CB pp. 179-184) (exhaustion)</w:t>
      </w:r>
    </w:p>
    <w:p w14:paraId="037357F0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Subsequent Developments in Patent Eligible Subject Matter, CB p. 195 (patentable subject-matter)</w:t>
      </w:r>
    </w:p>
    <w:p w14:paraId="7B0154A5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Manning v. Cape Ann Isinglass &amp; Glue, 2 S. Ct. 860 (1883) (CB pp. 200-201) (novelty)</w:t>
      </w:r>
    </w:p>
    <w:p w14:paraId="7D194290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In </w:t>
      </w:r>
      <w:r w:rsidRPr="0016747F">
        <w:rPr>
          <w:b w:val="0"/>
          <w:bCs w:val="0"/>
          <w:i/>
          <w:iCs/>
          <w:sz w:val="22"/>
          <w:szCs w:val="22"/>
        </w:rPr>
        <w:t>re</w:t>
      </w:r>
      <w:r w:rsidRPr="0016747F">
        <w:rPr>
          <w:b w:val="0"/>
          <w:bCs w:val="0"/>
          <w:sz w:val="22"/>
          <w:szCs w:val="22"/>
        </w:rPr>
        <w:t xml:space="preserve"> Lister, 583 F.3d 1307 (Fed. Cir. 2009) (CB pp. 202-211) (statutory bar)</w:t>
      </w:r>
    </w:p>
    <w:p w14:paraId="4D1B7BA2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Apple v. Samsung, 839 F.3d 1034 (Fed. Cir. 2016) (CB pp. 215-221) (non-obviousness)</w:t>
      </w:r>
    </w:p>
    <w:p w14:paraId="3262D04B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The Incandescent Lamp Patent, 159 U.S. 465 (1895) (CB 252-256) (disclosure)</w:t>
      </w:r>
    </w:p>
    <w:p w14:paraId="13DD89F1" w14:textId="5175CC93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Defend Trade Secrets Act of 2016, 18 U.S.C. §§ </w:t>
      </w:r>
      <w:hyperlink r:id="rId22" w:history="1">
        <w:r w:rsidRPr="0016747F">
          <w:rPr>
            <w:rStyle w:val="Hyperlink"/>
            <w:b w:val="0"/>
            <w:bCs w:val="0"/>
            <w:sz w:val="22"/>
            <w:szCs w:val="22"/>
          </w:rPr>
          <w:t>1836</w:t>
        </w:r>
      </w:hyperlink>
      <w:r w:rsidRPr="0016747F">
        <w:rPr>
          <w:b w:val="0"/>
          <w:bCs w:val="0"/>
          <w:sz w:val="22"/>
          <w:szCs w:val="22"/>
        </w:rPr>
        <w:t xml:space="preserve">(b)(1), </w:t>
      </w:r>
      <w:hyperlink r:id="rId23" w:history="1">
        <w:r w:rsidRPr="0016747F">
          <w:rPr>
            <w:rStyle w:val="Hyperlink"/>
            <w:b w:val="0"/>
            <w:bCs w:val="0"/>
            <w:sz w:val="22"/>
            <w:szCs w:val="22"/>
          </w:rPr>
          <w:t>1839</w:t>
        </w:r>
      </w:hyperlink>
      <w:r w:rsidRPr="0016747F">
        <w:rPr>
          <w:b w:val="0"/>
          <w:bCs w:val="0"/>
          <w:sz w:val="22"/>
          <w:szCs w:val="22"/>
        </w:rPr>
        <w:t xml:space="preserve"> (definitions of trade secret, owner, misappropriation, improper means) (CB pp. 136-137)</w:t>
      </w:r>
    </w:p>
    <w:p w14:paraId="35019AF9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Learning Curve Toys v. </w:t>
      </w:r>
      <w:proofErr w:type="spellStart"/>
      <w:r w:rsidRPr="0016747F">
        <w:rPr>
          <w:b w:val="0"/>
          <w:bCs w:val="0"/>
          <w:sz w:val="22"/>
          <w:szCs w:val="22"/>
        </w:rPr>
        <w:t>PlayWood</w:t>
      </w:r>
      <w:proofErr w:type="spellEnd"/>
      <w:r w:rsidRPr="0016747F">
        <w:rPr>
          <w:b w:val="0"/>
          <w:bCs w:val="0"/>
          <w:sz w:val="22"/>
          <w:szCs w:val="22"/>
        </w:rPr>
        <w:t xml:space="preserve"> Toys, 342 F.3d 714 (7th Cir. 2003) (CB pp. 138-154)</w:t>
      </w:r>
    </w:p>
    <w:p w14:paraId="19A313AF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lastRenderedPageBreak/>
        <w:t>DuPont v. Christopher, 431 F.2d 1012 (5th Cir. 1970) (CB pp. 156-160)</w:t>
      </w:r>
    </w:p>
    <w:p w14:paraId="2036D028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חוק הפטנטים, התשכ״ז-1967</w:t>
      </w:r>
    </w:p>
    <w:p w14:paraId="71DC4F1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חוק עוולות מסחריות, התשנ״ט-1999</w:t>
      </w:r>
    </w:p>
    <w:p w14:paraId="2BD421C5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665/84 </w:t>
      </w:r>
      <w:proofErr w:type="spellStart"/>
      <w:r w:rsidRPr="0016747F">
        <w:rPr>
          <w:b w:val="0"/>
          <w:bCs w:val="0"/>
          <w:sz w:val="22"/>
          <w:szCs w:val="22"/>
          <w:rtl/>
        </w:rPr>
        <w:t>סאנופי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בע״מ נ׳ אוניפארם בע״מ,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מא</w:t>
      </w:r>
      <w:proofErr w:type="spellEnd"/>
      <w:r w:rsidRPr="0016747F">
        <w:rPr>
          <w:b w:val="0"/>
          <w:bCs w:val="0"/>
          <w:sz w:val="22"/>
          <w:szCs w:val="22"/>
          <w:rtl/>
        </w:rPr>
        <w:t>(4) 729</w:t>
      </w:r>
    </w:p>
    <w:p w14:paraId="04203D64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345/87 </w:t>
      </w:r>
      <w:r w:rsidRPr="0016747F">
        <w:rPr>
          <w:b w:val="0"/>
          <w:bCs w:val="0"/>
          <w:sz w:val="22"/>
          <w:szCs w:val="22"/>
        </w:rPr>
        <w:t>Hughes Aircraft Co.</w:t>
      </w:r>
      <w:r w:rsidRPr="0016747F">
        <w:rPr>
          <w:b w:val="0"/>
          <w:bCs w:val="0"/>
          <w:sz w:val="22"/>
          <w:szCs w:val="22"/>
          <w:rtl/>
        </w:rPr>
        <w:t xml:space="preserve"> נ׳ מדינת ישראל, פ״ד מד(4) 45</w:t>
      </w:r>
    </w:p>
    <w:p w14:paraId="63DFC8F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1636/98 רב בריח בע״מ נ׳ בית מסחר לאביזרי רכב </w:t>
      </w:r>
      <w:proofErr w:type="spellStart"/>
      <w:r w:rsidRPr="0016747F">
        <w:rPr>
          <w:b w:val="0"/>
          <w:bCs w:val="0"/>
          <w:sz w:val="22"/>
          <w:szCs w:val="22"/>
          <w:rtl/>
        </w:rPr>
        <w:t>חבשוש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בע״מ ואח׳,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נה</w:t>
      </w:r>
      <w:proofErr w:type="spellEnd"/>
      <w:r w:rsidRPr="0016747F">
        <w:rPr>
          <w:b w:val="0"/>
          <w:bCs w:val="0"/>
          <w:sz w:val="22"/>
          <w:szCs w:val="22"/>
          <w:rtl/>
        </w:rPr>
        <w:t>(5) 337</w:t>
      </w:r>
    </w:p>
    <w:p w14:paraId="1B2EA3CC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244/72 </w:t>
      </w:r>
      <w:proofErr w:type="spellStart"/>
      <w:r w:rsidRPr="0016747F">
        <w:rPr>
          <w:b w:val="0"/>
          <w:bCs w:val="0"/>
          <w:sz w:val="22"/>
          <w:szCs w:val="22"/>
          <w:rtl/>
        </w:rPr>
        <w:t>פלנטקס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בע״מ ואח׳ נ׳ </w:t>
      </w:r>
      <w:r w:rsidRPr="0016747F">
        <w:rPr>
          <w:b w:val="0"/>
          <w:bCs w:val="0"/>
          <w:sz w:val="22"/>
          <w:szCs w:val="22"/>
        </w:rPr>
        <w:t xml:space="preserve">The </w:t>
      </w:r>
      <w:proofErr w:type="spellStart"/>
      <w:r w:rsidRPr="0016747F">
        <w:rPr>
          <w:b w:val="0"/>
          <w:bCs w:val="0"/>
          <w:sz w:val="22"/>
          <w:szCs w:val="22"/>
        </w:rPr>
        <w:t>Wellcome</w:t>
      </w:r>
      <w:proofErr w:type="spellEnd"/>
      <w:r w:rsidRPr="0016747F">
        <w:rPr>
          <w:b w:val="0"/>
          <w:bCs w:val="0"/>
          <w:sz w:val="22"/>
          <w:szCs w:val="22"/>
        </w:rPr>
        <w:t xml:space="preserve"> Foundation</w:t>
      </w:r>
      <w:r w:rsidRPr="0016747F">
        <w:rPr>
          <w:b w:val="0"/>
          <w:bCs w:val="0"/>
          <w:sz w:val="22"/>
          <w:szCs w:val="22"/>
          <w:rtl/>
        </w:rPr>
        <w:t xml:space="preserve">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כז</w:t>
      </w:r>
      <w:proofErr w:type="spellEnd"/>
      <w:r w:rsidRPr="0016747F">
        <w:rPr>
          <w:b w:val="0"/>
          <w:bCs w:val="0"/>
          <w:sz w:val="22"/>
          <w:szCs w:val="22"/>
          <w:rtl/>
        </w:rPr>
        <w:t>(2) 29</w:t>
      </w:r>
    </w:p>
    <w:p w14:paraId="674E95AF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5293/93 </w:t>
      </w:r>
      <w:proofErr w:type="spellStart"/>
      <w:r w:rsidRPr="0016747F">
        <w:rPr>
          <w:b w:val="0"/>
          <w:bCs w:val="0"/>
          <w:sz w:val="22"/>
          <w:szCs w:val="22"/>
        </w:rPr>
        <w:t>Wellcome</w:t>
      </w:r>
      <w:proofErr w:type="spellEnd"/>
      <w:r w:rsidRPr="0016747F">
        <w:rPr>
          <w:b w:val="0"/>
          <w:bCs w:val="0"/>
          <w:sz w:val="22"/>
          <w:szCs w:val="22"/>
        </w:rPr>
        <w:t xml:space="preserve"> Foundation</w:t>
      </w:r>
      <w:r w:rsidRPr="0016747F">
        <w:rPr>
          <w:b w:val="0"/>
          <w:bCs w:val="0"/>
          <w:sz w:val="22"/>
          <w:szCs w:val="22"/>
          <w:rtl/>
        </w:rPr>
        <w:t xml:space="preserve"> נ׳ רשם הפטנטים (1993)</w:t>
      </w:r>
    </w:p>
    <w:p w14:paraId="4CD14CD7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ת״א (מח׳ מרכז) 33666-07-11 אוניפארם נ׳ </w:t>
      </w:r>
      <w:r w:rsidRPr="0016747F">
        <w:rPr>
          <w:b w:val="0"/>
          <w:bCs w:val="0"/>
          <w:sz w:val="22"/>
          <w:szCs w:val="22"/>
        </w:rPr>
        <w:t>Sanofi</w:t>
      </w:r>
      <w:r w:rsidRPr="0016747F">
        <w:rPr>
          <w:b w:val="0"/>
          <w:bCs w:val="0"/>
          <w:sz w:val="22"/>
          <w:szCs w:val="22"/>
          <w:rtl/>
        </w:rPr>
        <w:t xml:space="preserve"> (2015)</w:t>
      </w:r>
    </w:p>
    <w:p w14:paraId="147DAE06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בג״צ 8672/17 ד״ר רות לוי נ׳ הוועדה לענייני פיצויים ותמלוגים מכוח חוק הפטנטים (2019)</w:t>
      </w:r>
    </w:p>
    <w:p w14:paraId="3489CE75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 xml:space="preserve">eBay v. </w:t>
      </w:r>
      <w:proofErr w:type="spellStart"/>
      <w:r w:rsidRPr="0016747F">
        <w:rPr>
          <w:b w:val="0"/>
          <w:bCs w:val="0"/>
          <w:sz w:val="22"/>
          <w:szCs w:val="22"/>
        </w:rPr>
        <w:t>MercExchange</w:t>
      </w:r>
      <w:proofErr w:type="spellEnd"/>
      <w:r w:rsidRPr="0016747F">
        <w:rPr>
          <w:b w:val="0"/>
          <w:bCs w:val="0"/>
          <w:sz w:val="22"/>
          <w:szCs w:val="22"/>
        </w:rPr>
        <w:t>, 547 U.S. 391</w:t>
      </w:r>
    </w:p>
    <w:p w14:paraId="26490188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Trademark Law</w:t>
      </w:r>
    </w:p>
    <w:p w14:paraId="59CC86A3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proofErr w:type="spellStart"/>
      <w:r w:rsidRPr="0016747F">
        <w:rPr>
          <w:b w:val="0"/>
          <w:bCs w:val="0"/>
          <w:sz w:val="22"/>
          <w:szCs w:val="22"/>
        </w:rPr>
        <w:t>Qualitex</w:t>
      </w:r>
      <w:proofErr w:type="spellEnd"/>
      <w:r w:rsidRPr="0016747F">
        <w:rPr>
          <w:b w:val="0"/>
          <w:bCs w:val="0"/>
          <w:sz w:val="22"/>
          <w:szCs w:val="22"/>
        </w:rPr>
        <w:t xml:space="preserve"> v. Jacobson Products, 514 U.S. 159 (1995) (CB 289-296) (subject-matter)</w:t>
      </w:r>
    </w:p>
    <w:p w14:paraId="1655F8F4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proofErr w:type="spellStart"/>
      <w:r w:rsidRPr="0016747F">
        <w:rPr>
          <w:b w:val="0"/>
          <w:bCs w:val="0"/>
          <w:sz w:val="22"/>
          <w:szCs w:val="22"/>
        </w:rPr>
        <w:t>Zatarain’s</w:t>
      </w:r>
      <w:proofErr w:type="spellEnd"/>
      <w:r w:rsidRPr="0016747F">
        <w:rPr>
          <w:b w:val="0"/>
          <w:bCs w:val="0"/>
          <w:sz w:val="22"/>
          <w:szCs w:val="22"/>
        </w:rPr>
        <w:t xml:space="preserve"> v. Oak Grove, 698 F.2d 786 (5th Cir. 1983) (CB pp. 298-311) (distinctiveness)</w:t>
      </w:r>
    </w:p>
    <w:p w14:paraId="7B3C6508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Walmart v. Samara, 529 U.S. 205 (2000) (CB 328-332) (trade dress)</w:t>
      </w:r>
    </w:p>
    <w:p w14:paraId="56FCCD2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proofErr w:type="spellStart"/>
      <w:r w:rsidRPr="0016747F">
        <w:rPr>
          <w:b w:val="0"/>
          <w:bCs w:val="0"/>
          <w:sz w:val="22"/>
          <w:szCs w:val="22"/>
        </w:rPr>
        <w:t>TrafFix</w:t>
      </w:r>
      <w:proofErr w:type="spellEnd"/>
      <w:r w:rsidRPr="0016747F">
        <w:rPr>
          <w:b w:val="0"/>
          <w:bCs w:val="0"/>
          <w:sz w:val="22"/>
          <w:szCs w:val="22"/>
        </w:rPr>
        <w:t xml:space="preserve"> Devices v. Marketing Displays, 532 U.S. 23 (2001) (functionality)</w:t>
      </w:r>
    </w:p>
    <w:p w14:paraId="3B583F7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Brookfield Communications v. West Coast Entm’t,</w:t>
      </w:r>
      <w:r w:rsidRPr="0016747F">
        <w:rPr>
          <w:b w:val="0"/>
          <w:bCs w:val="0"/>
          <w:color w:val="000000"/>
          <w:sz w:val="22"/>
          <w:szCs w:val="22"/>
        </w:rPr>
        <w:t xml:space="preserve"> 174 F.3d 1036 (9th Cir. 1999) (priority)</w:t>
      </w:r>
    </w:p>
    <w:p w14:paraId="4388A030" w14:textId="77777777" w:rsidR="00682F11" w:rsidRPr="0016747F" w:rsidRDefault="00371187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hyperlink r:id="rId24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AMF v. </w:t>
        </w:r>
        <w:proofErr w:type="spellStart"/>
        <w:r w:rsidR="00682F11" w:rsidRPr="0016747F">
          <w:rPr>
            <w:rStyle w:val="Hyperlink"/>
            <w:b w:val="0"/>
            <w:bCs w:val="0"/>
            <w:sz w:val="22"/>
            <w:szCs w:val="22"/>
          </w:rPr>
          <w:t>Sleekcraft</w:t>
        </w:r>
        <w:proofErr w:type="spellEnd"/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Boats</w:t>
        </w:r>
      </w:hyperlink>
      <w:r w:rsidR="00682F11" w:rsidRPr="0016747F">
        <w:rPr>
          <w:b w:val="0"/>
          <w:bCs w:val="0"/>
          <w:sz w:val="22"/>
          <w:szCs w:val="22"/>
        </w:rPr>
        <w:t>, 599 F.2d 341 (9th Cir. 1979) (infringement)</w:t>
      </w:r>
    </w:p>
    <w:p w14:paraId="6B761BFD" w14:textId="77777777" w:rsidR="00682F11" w:rsidRPr="0016747F" w:rsidRDefault="00371187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hyperlink r:id="rId25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Louis Vuitton Malletier v. Haute </w:t>
        </w:r>
        <w:proofErr w:type="spellStart"/>
        <w:r w:rsidR="00682F11" w:rsidRPr="0016747F">
          <w:rPr>
            <w:rStyle w:val="Hyperlink"/>
            <w:b w:val="0"/>
            <w:bCs w:val="0"/>
            <w:sz w:val="22"/>
            <w:szCs w:val="22"/>
          </w:rPr>
          <w:t>Diggity</w:t>
        </w:r>
        <w:proofErr w:type="spellEnd"/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Dog</w:t>
        </w:r>
      </w:hyperlink>
      <w:r w:rsidR="00682F11" w:rsidRPr="0016747F">
        <w:rPr>
          <w:b w:val="0"/>
          <w:bCs w:val="0"/>
          <w:sz w:val="22"/>
          <w:szCs w:val="22"/>
        </w:rPr>
        <w:t>, 507 F.3d 252 (4th Cir. 2007) (dilution)</w:t>
      </w:r>
    </w:p>
    <w:p w14:paraId="2D1CAED9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Mattel, Inc. v. MCA Records, Inc., 296 F.3d 894 (9th Cir. 2002) (CB pp. 393-403)</w:t>
      </w:r>
    </w:p>
    <w:p w14:paraId="406C9113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פקודת סימני מסחר [נוסח חדש], התשל״ב-1972</w:t>
      </w:r>
    </w:p>
    <w:p w14:paraId="2006625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חוק עוולות מסחריות, התשנ״ט-1999</w:t>
      </w:r>
    </w:p>
    <w:p w14:paraId="2FF8692C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רע״א 1400/97 פיקנטי תעשיות מזון נ׳ אסם תעשיות מזון פ״ד נא(1) 310</w:t>
      </w:r>
    </w:p>
    <w:p w14:paraId="67E7793A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5792/99 תקשורת וחינוך דתי-יהודי נ׳ </w:t>
      </w:r>
      <w:proofErr w:type="spellStart"/>
      <w:r w:rsidRPr="0016747F">
        <w:rPr>
          <w:b w:val="0"/>
          <w:bCs w:val="0"/>
          <w:sz w:val="22"/>
          <w:szCs w:val="22"/>
          <w:rtl/>
        </w:rPr>
        <w:t>אס.בי.סי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פרסום,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נה</w:t>
      </w:r>
      <w:proofErr w:type="spellEnd"/>
      <w:r w:rsidRPr="0016747F">
        <w:rPr>
          <w:b w:val="0"/>
          <w:bCs w:val="0"/>
          <w:sz w:val="22"/>
          <w:szCs w:val="22"/>
          <w:rtl/>
        </w:rPr>
        <w:t>(3) 933</w:t>
      </w:r>
    </w:p>
    <w:p w14:paraId="36228169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8483/02 </w:t>
      </w:r>
      <w:proofErr w:type="spellStart"/>
      <w:r w:rsidRPr="0016747F">
        <w:rPr>
          <w:b w:val="0"/>
          <w:bCs w:val="0"/>
          <w:sz w:val="22"/>
          <w:szCs w:val="22"/>
          <w:rtl/>
        </w:rPr>
        <w:t>אלוניאל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נ׳ מקדונלד, פ״ד נח(4) 314</w:t>
      </w:r>
    </w:p>
    <w:p w14:paraId="64CB5CBA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6181/96 </w:t>
      </w:r>
      <w:proofErr w:type="spellStart"/>
      <w:r w:rsidRPr="0016747F">
        <w:rPr>
          <w:b w:val="0"/>
          <w:bCs w:val="0"/>
          <w:sz w:val="22"/>
          <w:szCs w:val="22"/>
          <w:rtl/>
        </w:rPr>
        <w:t>קרדי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נ׳ </w:t>
      </w:r>
      <w:r w:rsidRPr="0016747F">
        <w:rPr>
          <w:b w:val="0"/>
          <w:bCs w:val="0"/>
          <w:sz w:val="22"/>
          <w:szCs w:val="22"/>
        </w:rPr>
        <w:t>Bacardi &amp; Company Limited</w:t>
      </w:r>
      <w:r w:rsidRPr="0016747F">
        <w:rPr>
          <w:b w:val="0"/>
          <w:bCs w:val="0"/>
          <w:sz w:val="22"/>
          <w:szCs w:val="22"/>
          <w:rtl/>
        </w:rPr>
        <w:t>, פ״ד נב(3) 276</w:t>
      </w:r>
    </w:p>
    <w:p w14:paraId="68B145A0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9191/03 </w:t>
      </w:r>
      <w:r w:rsidRPr="0016747F">
        <w:rPr>
          <w:b w:val="0"/>
          <w:bCs w:val="0"/>
          <w:sz w:val="22"/>
          <w:szCs w:val="22"/>
        </w:rPr>
        <w:t xml:space="preserve">V&amp;S Vin Spirt </w:t>
      </w:r>
      <w:proofErr w:type="spellStart"/>
      <w:r w:rsidRPr="0016747F">
        <w:rPr>
          <w:b w:val="0"/>
          <w:bCs w:val="0"/>
          <w:sz w:val="22"/>
          <w:szCs w:val="22"/>
        </w:rPr>
        <w:t>Aktlebolag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ואח׳ נ׳ </w:t>
      </w:r>
      <w:proofErr w:type="spellStart"/>
      <w:r w:rsidRPr="0016747F">
        <w:rPr>
          <w:b w:val="0"/>
          <w:bCs w:val="0"/>
          <w:sz w:val="22"/>
          <w:szCs w:val="22"/>
          <w:rtl/>
        </w:rPr>
        <w:t>אבסולוט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</w:t>
      </w:r>
      <w:proofErr w:type="spellStart"/>
      <w:r w:rsidRPr="0016747F">
        <w:rPr>
          <w:b w:val="0"/>
          <w:bCs w:val="0"/>
          <w:sz w:val="22"/>
          <w:szCs w:val="22"/>
          <w:rtl/>
        </w:rPr>
        <w:t>שוז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בע״מ, פ״ד נח(6)</w:t>
      </w:r>
      <w:r w:rsidRPr="0016747F">
        <w:rPr>
          <w:b w:val="0"/>
          <w:bCs w:val="0"/>
          <w:sz w:val="22"/>
          <w:szCs w:val="22"/>
        </w:rPr>
        <w:t xml:space="preserve"> </w:t>
      </w:r>
      <w:r w:rsidRPr="0016747F">
        <w:rPr>
          <w:b w:val="0"/>
          <w:bCs w:val="0"/>
          <w:sz w:val="22"/>
          <w:szCs w:val="22"/>
          <w:rtl/>
        </w:rPr>
        <w:t>869</w:t>
      </w:r>
    </w:p>
    <w:p w14:paraId="73C90734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563/11 </w:t>
      </w:r>
      <w:r w:rsidRPr="0016747F">
        <w:rPr>
          <w:b w:val="0"/>
          <w:bCs w:val="0"/>
          <w:sz w:val="22"/>
          <w:szCs w:val="22"/>
        </w:rPr>
        <w:t>Adidas</w:t>
      </w:r>
      <w:r w:rsidRPr="0016747F">
        <w:rPr>
          <w:b w:val="0"/>
          <w:bCs w:val="0"/>
          <w:sz w:val="22"/>
          <w:szCs w:val="22"/>
          <w:rtl/>
        </w:rPr>
        <w:t xml:space="preserve"> נ׳ יאסין</w:t>
      </w:r>
    </w:p>
    <w:p w14:paraId="02264E4E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3425/17 </w:t>
      </w:r>
      <w:proofErr w:type="spellStart"/>
      <w:r w:rsidRPr="0016747F">
        <w:rPr>
          <w:b w:val="0"/>
          <w:bCs w:val="0"/>
          <w:sz w:val="22"/>
          <w:szCs w:val="22"/>
        </w:rPr>
        <w:t>Societe</w:t>
      </w:r>
      <w:proofErr w:type="spellEnd"/>
      <w:r w:rsidRPr="0016747F">
        <w:rPr>
          <w:b w:val="0"/>
          <w:bCs w:val="0"/>
          <w:sz w:val="22"/>
          <w:szCs w:val="22"/>
        </w:rPr>
        <w:t xml:space="preserve"> des </w:t>
      </w:r>
      <w:proofErr w:type="spellStart"/>
      <w:r w:rsidRPr="0016747F">
        <w:rPr>
          <w:b w:val="0"/>
          <w:bCs w:val="0"/>
          <w:sz w:val="22"/>
          <w:szCs w:val="22"/>
        </w:rPr>
        <w:t>Produits</w:t>
      </w:r>
      <w:proofErr w:type="spellEnd"/>
      <w:r w:rsidRPr="0016747F">
        <w:rPr>
          <w:b w:val="0"/>
          <w:bCs w:val="0"/>
          <w:sz w:val="22"/>
          <w:szCs w:val="22"/>
        </w:rPr>
        <w:t xml:space="preserve"> Nestle</w:t>
      </w:r>
      <w:r w:rsidRPr="0016747F">
        <w:rPr>
          <w:b w:val="0"/>
          <w:bCs w:val="0"/>
          <w:sz w:val="22"/>
          <w:szCs w:val="22"/>
          <w:rtl/>
        </w:rPr>
        <w:t xml:space="preserve"> ואח׳ נ׳ אספרסו קלאב בע״מ (2019)</w:t>
      </w:r>
    </w:p>
    <w:p w14:paraId="1296B5EB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Design Law</w:t>
      </w:r>
    </w:p>
    <w:p w14:paraId="3ACDB8F6" w14:textId="77777777" w:rsidR="00682F11" w:rsidRPr="0016747F" w:rsidRDefault="00371187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hyperlink r:id="rId26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17 U.S.C. </w:t>
        </w:r>
        <w:r w:rsidR="00682F11" w:rsidRPr="0016747F">
          <w:rPr>
            <w:rStyle w:val="Hyperlink"/>
            <w:b w:val="0"/>
            <w:bCs w:val="0"/>
            <w:kern w:val="36"/>
            <w:sz w:val="22"/>
            <w:szCs w:val="22"/>
          </w:rPr>
          <w:t>§</w:t>
        </w:r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101</w:t>
        </w:r>
      </w:hyperlink>
      <w:r w:rsidR="00682F11" w:rsidRPr="0016747F">
        <w:rPr>
          <w:b w:val="0"/>
          <w:bCs w:val="0"/>
          <w:sz w:val="22"/>
          <w:szCs w:val="22"/>
        </w:rPr>
        <w:t xml:space="preserve"> (definitions of “pictorial, graphic and sculptural works”, “architectural work”) </w:t>
      </w:r>
    </w:p>
    <w:p w14:paraId="013D95E1" w14:textId="77777777" w:rsidR="00682F11" w:rsidRPr="0016747F" w:rsidRDefault="00371187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hyperlink r:id="rId27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17 U.S.C. </w:t>
        </w:r>
        <w:r w:rsidR="00682F11" w:rsidRPr="0016747F">
          <w:rPr>
            <w:rStyle w:val="Hyperlink"/>
            <w:b w:val="0"/>
            <w:bCs w:val="0"/>
            <w:kern w:val="36"/>
            <w:sz w:val="22"/>
            <w:szCs w:val="22"/>
          </w:rPr>
          <w:t>§</w:t>
        </w:r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901</w:t>
        </w:r>
      </w:hyperlink>
      <w:r w:rsidR="00682F11" w:rsidRPr="0016747F">
        <w:rPr>
          <w:b w:val="0"/>
          <w:bCs w:val="0"/>
          <w:sz w:val="22"/>
          <w:szCs w:val="22"/>
        </w:rPr>
        <w:t xml:space="preserve"> (definitions of “semiconductor chip product”, “mask work”)</w:t>
      </w:r>
    </w:p>
    <w:p w14:paraId="32AB8A6B" w14:textId="77777777" w:rsidR="00682F11" w:rsidRPr="0016747F" w:rsidRDefault="00371187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hyperlink r:id="rId28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17 U.S.C. </w:t>
        </w:r>
        <w:r w:rsidR="00682F11" w:rsidRPr="0016747F">
          <w:rPr>
            <w:rStyle w:val="Hyperlink"/>
            <w:b w:val="0"/>
            <w:bCs w:val="0"/>
            <w:kern w:val="36"/>
            <w:sz w:val="22"/>
            <w:szCs w:val="22"/>
          </w:rPr>
          <w:t>§</w:t>
        </w:r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1301</w:t>
        </w:r>
      </w:hyperlink>
      <w:r w:rsidR="00682F11" w:rsidRPr="0016747F">
        <w:rPr>
          <w:b w:val="0"/>
          <w:bCs w:val="0"/>
          <w:sz w:val="22"/>
          <w:szCs w:val="22"/>
        </w:rPr>
        <w:t xml:space="preserve">(a)(2), </w:t>
      </w:r>
      <w:proofErr w:type="gramStart"/>
      <w:r w:rsidR="00682F11" w:rsidRPr="0016747F">
        <w:rPr>
          <w:b w:val="0"/>
          <w:bCs w:val="0"/>
          <w:sz w:val="22"/>
          <w:szCs w:val="22"/>
        </w:rPr>
        <w:t>b(</w:t>
      </w:r>
      <w:proofErr w:type="gramEnd"/>
      <w:r w:rsidR="00682F11" w:rsidRPr="0016747F">
        <w:rPr>
          <w:b w:val="0"/>
          <w:bCs w:val="0"/>
          <w:sz w:val="22"/>
          <w:szCs w:val="22"/>
        </w:rPr>
        <w:t>3) (definition of “vessel” )</w:t>
      </w:r>
    </w:p>
    <w:p w14:paraId="79E9EEC1" w14:textId="77777777" w:rsidR="00682F11" w:rsidRPr="0016747F" w:rsidRDefault="00371187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hyperlink r:id="rId29" w:history="1"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35 U.S.C. </w:t>
        </w:r>
        <w:r w:rsidR="00682F11" w:rsidRPr="0016747F">
          <w:rPr>
            <w:rStyle w:val="Hyperlink"/>
            <w:b w:val="0"/>
            <w:bCs w:val="0"/>
            <w:kern w:val="36"/>
            <w:sz w:val="22"/>
            <w:szCs w:val="22"/>
          </w:rPr>
          <w:t>§</w:t>
        </w:r>
        <w:r w:rsidR="00682F11" w:rsidRPr="0016747F">
          <w:rPr>
            <w:rStyle w:val="Hyperlink"/>
            <w:b w:val="0"/>
            <w:bCs w:val="0"/>
            <w:sz w:val="22"/>
            <w:szCs w:val="22"/>
          </w:rPr>
          <w:t xml:space="preserve"> 171</w:t>
        </w:r>
      </w:hyperlink>
    </w:p>
    <w:p w14:paraId="1E795D2F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Star Athletica v. Varsity Brands, 580 U.S. ___ (2017)</w:t>
      </w:r>
    </w:p>
    <w:p w14:paraId="30F8A812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>חוק העיצובים, התשע״ז-2017</w:t>
      </w:r>
    </w:p>
    <w:p w14:paraId="4E5485C4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7125/98 </w:t>
      </w:r>
      <w:proofErr w:type="spellStart"/>
      <w:r w:rsidRPr="0016747F">
        <w:rPr>
          <w:b w:val="0"/>
          <w:bCs w:val="0"/>
          <w:sz w:val="22"/>
          <w:szCs w:val="22"/>
          <w:rtl/>
        </w:rPr>
        <w:t>מיפרומאל</w:t>
      </w:r>
      <w:proofErr w:type="spellEnd"/>
      <w:r w:rsidRPr="0016747F">
        <w:rPr>
          <w:b w:val="0"/>
          <w:bCs w:val="0"/>
          <w:sz w:val="22"/>
          <w:szCs w:val="22"/>
          <w:rtl/>
        </w:rPr>
        <w:t xml:space="preserve"> תעשיות ירושלים נ׳ קליל תעשיות בע״מ, פ״ד </w:t>
      </w:r>
      <w:proofErr w:type="spellStart"/>
      <w:r w:rsidRPr="0016747F">
        <w:rPr>
          <w:b w:val="0"/>
          <w:bCs w:val="0"/>
          <w:sz w:val="22"/>
          <w:szCs w:val="22"/>
          <w:rtl/>
        </w:rPr>
        <w:t>נז</w:t>
      </w:r>
      <w:proofErr w:type="spellEnd"/>
      <w:r w:rsidRPr="0016747F">
        <w:rPr>
          <w:b w:val="0"/>
          <w:bCs w:val="0"/>
          <w:sz w:val="22"/>
          <w:szCs w:val="22"/>
          <w:rtl/>
        </w:rPr>
        <w:t>(3)</w:t>
      </w:r>
      <w:r w:rsidRPr="0016747F">
        <w:rPr>
          <w:b w:val="0"/>
          <w:bCs w:val="0"/>
          <w:sz w:val="22"/>
          <w:szCs w:val="22"/>
        </w:rPr>
        <w:t xml:space="preserve"> </w:t>
      </w:r>
      <w:r w:rsidRPr="0016747F">
        <w:rPr>
          <w:b w:val="0"/>
          <w:bCs w:val="0"/>
          <w:sz w:val="22"/>
          <w:szCs w:val="22"/>
          <w:rtl/>
        </w:rPr>
        <w:t>702</w:t>
      </w:r>
    </w:p>
    <w:p w14:paraId="1B9C9822" w14:textId="77777777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ע״א 1248/15 </w:t>
      </w:r>
      <w:r w:rsidRPr="0016747F">
        <w:rPr>
          <w:b w:val="0"/>
          <w:bCs w:val="0"/>
          <w:sz w:val="22"/>
          <w:szCs w:val="22"/>
        </w:rPr>
        <w:t>Fisher Price</w:t>
      </w:r>
      <w:r w:rsidRPr="0016747F">
        <w:rPr>
          <w:b w:val="0"/>
          <w:bCs w:val="0"/>
          <w:sz w:val="22"/>
          <w:szCs w:val="22"/>
          <w:rtl/>
        </w:rPr>
        <w:t xml:space="preserve"> נ׳ </w:t>
      </w:r>
      <w:proofErr w:type="spellStart"/>
      <w:r w:rsidRPr="0016747F">
        <w:rPr>
          <w:b w:val="0"/>
          <w:bCs w:val="0"/>
          <w:sz w:val="22"/>
          <w:szCs w:val="22"/>
          <w:rtl/>
        </w:rPr>
        <w:t>דוורון</w:t>
      </w:r>
      <w:proofErr w:type="spellEnd"/>
    </w:p>
    <w:p w14:paraId="6185015A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  <w:lang w:bidi="ar-SA"/>
        </w:rPr>
      </w:pPr>
      <w:r w:rsidRPr="0016747F">
        <w:rPr>
          <w:b w:val="0"/>
          <w:bCs w:val="0"/>
          <w:sz w:val="22"/>
          <w:szCs w:val="22"/>
        </w:rPr>
        <w:t>Misappropriation and Unjust Enrichment</w:t>
      </w:r>
    </w:p>
    <w:p w14:paraId="4691D1F5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INS v. AP, 248 U.S. 215 (1918) (CB 3-12) (misappropriation)</w:t>
      </w:r>
    </w:p>
    <w:p w14:paraId="63306BEF" w14:textId="7441998B" w:rsidR="00682F11" w:rsidRPr="0016747F" w:rsidRDefault="00682F11" w:rsidP="0016747F">
      <w:pPr>
        <w:pStyle w:val="Heading2"/>
        <w:tabs>
          <w:tab w:val="num" w:pos="720"/>
        </w:tabs>
        <w:bidi/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  <w:rtl/>
        </w:rPr>
        <w:t xml:space="preserve">רע״א 5768/94 </w:t>
      </w:r>
      <w:proofErr w:type="spellStart"/>
      <w:r w:rsidRPr="0016747F">
        <w:rPr>
          <w:b w:val="0"/>
          <w:bCs w:val="0"/>
          <w:sz w:val="22"/>
          <w:szCs w:val="22"/>
          <w:rtl/>
        </w:rPr>
        <w:t>א.ש.י.ר</w:t>
      </w:r>
      <w:proofErr w:type="spellEnd"/>
      <w:r w:rsidRPr="0016747F">
        <w:rPr>
          <w:b w:val="0"/>
          <w:bCs w:val="0"/>
          <w:sz w:val="22"/>
          <w:szCs w:val="22"/>
          <w:rtl/>
        </w:rPr>
        <w:t>. נ׳ פורום אביזרים, פ״ד נ״ב (4), 289</w:t>
      </w:r>
      <w:r w:rsidR="00DA7956">
        <w:rPr>
          <w:rFonts w:hint="cs"/>
          <w:b w:val="0"/>
          <w:bCs w:val="0"/>
          <w:sz w:val="22"/>
          <w:szCs w:val="22"/>
          <w:rtl/>
        </w:rPr>
        <w:t xml:space="preserve"> (עשיית עושר ולא במשפט)</w:t>
      </w:r>
    </w:p>
    <w:p w14:paraId="53A9980C" w14:textId="77777777" w:rsidR="00682F11" w:rsidRPr="0016747F" w:rsidRDefault="00682F11" w:rsidP="0016747F">
      <w:pPr>
        <w:pStyle w:val="Heading1"/>
        <w:tabs>
          <w:tab w:val="clear" w:pos="432"/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Perspective #2: International IP Law</w:t>
      </w:r>
    </w:p>
    <w:p w14:paraId="2C3AF79A" w14:textId="77777777" w:rsidR="00682F11" w:rsidRPr="0016747F" w:rsidRDefault="00682F11" w:rsidP="0016747F">
      <w:pPr>
        <w:pStyle w:val="Heading2"/>
        <w:tabs>
          <w:tab w:val="num" w:pos="720"/>
        </w:tabs>
        <w:rPr>
          <w:b w:val="0"/>
          <w:bCs w:val="0"/>
          <w:sz w:val="22"/>
          <w:szCs w:val="22"/>
        </w:rPr>
      </w:pPr>
      <w:r w:rsidRPr="0016747F">
        <w:rPr>
          <w:b w:val="0"/>
          <w:bCs w:val="0"/>
          <w:sz w:val="22"/>
          <w:szCs w:val="22"/>
        </w:rPr>
        <w:t>CB pp. 64-65</w:t>
      </w:r>
    </w:p>
    <w:p w14:paraId="6D39905B" w14:textId="77777777" w:rsidR="00682F11" w:rsidRPr="00AE7F44" w:rsidRDefault="00682F11" w:rsidP="00682F11">
      <w:pPr>
        <w:pStyle w:val="Heading1"/>
        <w:numPr>
          <w:ilvl w:val="0"/>
          <w:numId w:val="0"/>
        </w:numPr>
        <w:ind w:left="360"/>
      </w:pPr>
    </w:p>
    <w:p w14:paraId="632EEF3F" w14:textId="77777777" w:rsidR="00682F11" w:rsidRPr="008C635F" w:rsidRDefault="00682F11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414918BD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2C46EE2B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382BA37D" w14:textId="77777777" w:rsidR="00982772" w:rsidRPr="008C635F" w:rsidRDefault="00982772" w:rsidP="00634A75">
      <w:pPr>
        <w:pStyle w:val="WPNormal"/>
        <w:ind w:left="360"/>
        <w:rPr>
          <w:rFonts w:ascii="Times" w:hAnsi="Times"/>
          <w:bCs/>
          <w:color w:val="000000" w:themeColor="text1"/>
        </w:rPr>
      </w:pPr>
    </w:p>
    <w:p w14:paraId="7D2BD144" w14:textId="77777777" w:rsidR="00C876E6" w:rsidRPr="008C635F" w:rsidRDefault="00C876E6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15081C43" w14:textId="77777777" w:rsidR="00461D77" w:rsidRPr="008C635F" w:rsidRDefault="006F5BC1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 xml:space="preserve">Assignments and </w:t>
      </w:r>
      <w:r w:rsidR="00E810DE" w:rsidRPr="008C635F">
        <w:rPr>
          <w:rFonts w:ascii="Times" w:hAnsi="Times"/>
          <w:b/>
          <w:color w:val="000000" w:themeColor="text1"/>
        </w:rPr>
        <w:t>Grading Procedures</w:t>
      </w:r>
    </w:p>
    <w:p w14:paraId="07C277C9" w14:textId="09617B8A" w:rsidR="00B7734A" w:rsidRDefault="008370DB" w:rsidP="00B7734A">
      <w:pPr>
        <w:pStyle w:val="WPNormal"/>
        <w:rPr>
          <w:rFonts w:ascii="Times" w:hAnsi="Times"/>
          <w:bCs/>
          <w:color w:val="000000" w:themeColor="text1"/>
        </w:rPr>
      </w:pPr>
      <w:r w:rsidRPr="008370DB">
        <w:rPr>
          <w:rFonts w:ascii="Times" w:hAnsi="Times"/>
          <w:bCs/>
          <w:color w:val="000000" w:themeColor="text1"/>
        </w:rPr>
        <w:t>Class grade will be based on the final exam</w:t>
      </w:r>
      <w:r>
        <w:rPr>
          <w:rFonts w:ascii="Times" w:hAnsi="Times"/>
          <w:bCs/>
          <w:color w:val="000000" w:themeColor="text1"/>
        </w:rPr>
        <w:t xml:space="preserve">. </w:t>
      </w:r>
    </w:p>
    <w:p w14:paraId="7BCD0B0F" w14:textId="042E4BEB" w:rsidR="00B7734A" w:rsidRDefault="00B7734A" w:rsidP="00B7734A">
      <w:pPr>
        <w:pStyle w:val="WPNormal"/>
        <w:rPr>
          <w:rFonts w:ascii="Times" w:hAnsi="Times"/>
          <w:bCs/>
          <w:color w:val="000000" w:themeColor="text1"/>
        </w:rPr>
      </w:pPr>
    </w:p>
    <w:p w14:paraId="7F232772" w14:textId="1E144162" w:rsidR="00B7734A" w:rsidRDefault="00B7734A" w:rsidP="00B7734A">
      <w:pPr>
        <w:pStyle w:val="WPNormal"/>
        <w:rPr>
          <w:rFonts w:ascii="Times" w:hAnsi="Times"/>
          <w:bCs/>
          <w:color w:val="000000" w:themeColor="text1"/>
        </w:rPr>
      </w:pPr>
      <w:r>
        <w:rPr>
          <w:rFonts w:ascii="Times" w:hAnsi="Times"/>
          <w:bCs/>
          <w:color w:val="000000" w:themeColor="text1"/>
        </w:rPr>
        <w:t>Exam will be open printed book.</w:t>
      </w:r>
    </w:p>
    <w:p w14:paraId="48C35A06" w14:textId="77777777" w:rsidR="00B7734A" w:rsidRDefault="00B7734A" w:rsidP="00B7734A">
      <w:pPr>
        <w:pStyle w:val="WPNormal"/>
        <w:rPr>
          <w:rFonts w:ascii="Times" w:hAnsi="Times"/>
          <w:bCs/>
          <w:color w:val="000000" w:themeColor="text1"/>
        </w:rPr>
      </w:pPr>
    </w:p>
    <w:p w14:paraId="7330E1DF" w14:textId="4A7A16A3" w:rsidR="006F5BC1" w:rsidRPr="008370DB" w:rsidRDefault="00B7734A" w:rsidP="00B7734A">
      <w:pPr>
        <w:pStyle w:val="WPNormal"/>
        <w:rPr>
          <w:rFonts w:ascii="Times" w:hAnsi="Times"/>
          <w:bCs/>
          <w:color w:val="000000" w:themeColor="text1"/>
          <w:lang w:bidi="he-IL"/>
        </w:rPr>
      </w:pPr>
      <w:r>
        <w:rPr>
          <w:rFonts w:ascii="Times" w:hAnsi="Times"/>
          <w:bCs/>
          <w:color w:val="000000" w:themeColor="text1"/>
        </w:rPr>
        <w:t xml:space="preserve">Up to 5 points may be added to students whose participation contributes materially to class discussion.  </w:t>
      </w:r>
    </w:p>
    <w:p w14:paraId="3556164F" w14:textId="77777777" w:rsidR="00F13848" w:rsidRPr="008C635F" w:rsidRDefault="00F13848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42A29690" w14:textId="77777777" w:rsidR="00F13848" w:rsidRPr="008C635F" w:rsidRDefault="00F13848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7276DF30" w14:textId="77777777" w:rsidR="00F13848" w:rsidRPr="008C635F" w:rsidRDefault="00F13848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555D1C36" w14:textId="77777777" w:rsidR="00F13848" w:rsidRPr="008C635F" w:rsidRDefault="00F13848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7010337C" w14:textId="77777777" w:rsidR="008F40CD" w:rsidRPr="008C635F" w:rsidRDefault="008F40CD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3893FD28" w14:textId="77777777" w:rsidR="0014634C" w:rsidRPr="008C635F" w:rsidRDefault="0014634C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2063AA98" w14:textId="77777777" w:rsidR="00461D77" w:rsidRPr="008C635F" w:rsidRDefault="00461D77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2A945280" w14:textId="77777777" w:rsidR="00C876E6" w:rsidRPr="008C635F" w:rsidRDefault="00461D77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>Course Schedule</w:t>
      </w:r>
      <w:r w:rsidR="0033658A" w:rsidRPr="008C635F">
        <w:rPr>
          <w:rFonts w:ascii="Times" w:hAnsi="Times"/>
          <w:b/>
          <w:color w:val="000000" w:themeColor="text1"/>
        </w:rPr>
        <w:t xml:space="preserve"> (Topics, assignments, Exams)</w:t>
      </w:r>
    </w:p>
    <w:p w14:paraId="172DC4B4" w14:textId="77777777" w:rsidR="00F376EC" w:rsidRPr="008C635F" w:rsidRDefault="00F376E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51DFFCD0" w14:textId="77777777" w:rsidR="00C876E6" w:rsidRPr="008C635F" w:rsidRDefault="00C876E6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18F2A616" w14:textId="77777777" w:rsidR="006D7DEB" w:rsidRPr="008C635F" w:rsidRDefault="006D7DEB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2FDA4A66" w14:textId="77777777" w:rsidR="00F1128A" w:rsidRPr="008C635F" w:rsidRDefault="00F1128A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6464EB91" w14:textId="77777777" w:rsidR="00F1128A" w:rsidRPr="008C635F" w:rsidRDefault="00F1128A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0EAE0294" w14:textId="77777777" w:rsidR="00B7568B" w:rsidRPr="008C635F" w:rsidRDefault="00B7568B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44A5A6A1" w14:textId="77777777" w:rsidR="00B7568B" w:rsidRPr="008C635F" w:rsidRDefault="00B7568B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>Course Requirements</w:t>
      </w:r>
      <w:r w:rsidRPr="008C635F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&amp; </w:t>
      </w:r>
      <w:r w:rsidRPr="008C635F">
        <w:rPr>
          <w:rFonts w:ascii="Times" w:hAnsi="Times"/>
          <w:b/>
          <w:color w:val="000000" w:themeColor="text1"/>
        </w:rPr>
        <w:t>Course</w:t>
      </w:r>
      <w:r w:rsidRPr="008C635F">
        <w:rPr>
          <w:rFonts w:ascii="Times New Roman" w:hAnsi="Times New Roman"/>
          <w:b/>
          <w:color w:val="000000" w:themeColor="text1"/>
          <w:szCs w:val="24"/>
          <w:lang w:bidi="he-IL"/>
        </w:rPr>
        <w:t xml:space="preserve"> Policies</w:t>
      </w:r>
    </w:p>
    <w:p w14:paraId="21F6578A" w14:textId="77777777" w:rsidR="00B7568B" w:rsidRPr="008C635F" w:rsidRDefault="00B7568B" w:rsidP="00634A75">
      <w:pPr>
        <w:pStyle w:val="WPNormal"/>
        <w:ind w:left="360"/>
        <w:rPr>
          <w:rFonts w:ascii="Times" w:hAnsi="Times"/>
          <w:bCs/>
          <w:color w:val="000000" w:themeColor="text1"/>
        </w:rPr>
      </w:pPr>
    </w:p>
    <w:p w14:paraId="028915F0" w14:textId="77777777" w:rsidR="00B7568B" w:rsidRPr="008C635F" w:rsidRDefault="00B7568B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601B52A1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133DDE68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478A062F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151C2114" w14:textId="77777777" w:rsidR="00B7568B" w:rsidRPr="008C635F" w:rsidRDefault="00B7568B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732DB43C" w14:textId="77777777" w:rsidR="00F1128A" w:rsidRPr="008C635F" w:rsidRDefault="00F1128A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>Accommodation for Students with special needs</w:t>
      </w:r>
    </w:p>
    <w:p w14:paraId="3B6855F0" w14:textId="77777777" w:rsidR="006D7DEB" w:rsidRPr="008C635F" w:rsidRDefault="006D7DEB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2CB5A0A5" w14:textId="77777777" w:rsidR="00E3529C" w:rsidRPr="008C635F" w:rsidRDefault="00E3529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4EE0A638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1B5588BD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3B6B7EB2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25E849CF" w14:textId="77777777" w:rsidR="00C876E6" w:rsidRPr="008C635F" w:rsidRDefault="00AA61C7" w:rsidP="00634A75">
      <w:pPr>
        <w:pStyle w:val="WPNormal"/>
        <w:rPr>
          <w:rFonts w:ascii="Times" w:hAnsi="Times"/>
          <w:b/>
          <w:color w:val="000000" w:themeColor="text1"/>
        </w:rPr>
      </w:pPr>
      <w:proofErr w:type="gramStart"/>
      <w:r w:rsidRPr="008C635F">
        <w:rPr>
          <w:rFonts w:ascii="Times" w:hAnsi="Times"/>
          <w:b/>
          <w:color w:val="000000" w:themeColor="text1"/>
        </w:rPr>
        <w:t>Text book</w:t>
      </w:r>
      <w:proofErr w:type="gramEnd"/>
      <w:r w:rsidRPr="008C635F">
        <w:rPr>
          <w:rFonts w:ascii="Times" w:hAnsi="Times"/>
          <w:b/>
          <w:color w:val="000000" w:themeColor="text1"/>
        </w:rPr>
        <w:t>(s) and/or other materials</w:t>
      </w:r>
    </w:p>
    <w:p w14:paraId="5B644731" w14:textId="77777777" w:rsidR="00C876E6" w:rsidRPr="008C635F" w:rsidRDefault="00C876E6" w:rsidP="00634A75">
      <w:pPr>
        <w:pStyle w:val="WPNormal"/>
        <w:ind w:left="360"/>
        <w:rPr>
          <w:rFonts w:ascii="Times" w:hAnsi="Times"/>
          <w:bCs/>
          <w:color w:val="000000" w:themeColor="text1"/>
        </w:rPr>
      </w:pPr>
    </w:p>
    <w:p w14:paraId="310BF719" w14:textId="77777777" w:rsidR="00BF3311" w:rsidRPr="008C635F" w:rsidRDefault="00BF3311" w:rsidP="00634A75">
      <w:pPr>
        <w:pStyle w:val="WPNormal"/>
        <w:ind w:right="-900"/>
        <w:rPr>
          <w:rFonts w:ascii="Times" w:hAnsi="Times"/>
          <w:bCs/>
          <w:color w:val="000000" w:themeColor="text1"/>
        </w:rPr>
      </w:pPr>
    </w:p>
    <w:p w14:paraId="33133AD2" w14:textId="77777777" w:rsidR="00BF3311" w:rsidRPr="008C635F" w:rsidRDefault="00BF3311" w:rsidP="00634A75">
      <w:pPr>
        <w:pStyle w:val="WPNormal"/>
        <w:ind w:right="-900"/>
        <w:rPr>
          <w:rFonts w:ascii="Times" w:hAnsi="Times"/>
          <w:bCs/>
          <w:color w:val="000000" w:themeColor="text1"/>
        </w:rPr>
      </w:pPr>
    </w:p>
    <w:p w14:paraId="03C461BC" w14:textId="77777777" w:rsidR="00D84539" w:rsidRPr="008C635F" w:rsidRDefault="00D84539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1FE61BCD" w14:textId="77777777" w:rsidR="00D84539" w:rsidRPr="008C635F" w:rsidRDefault="00D84539" w:rsidP="00634A75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>Academic Integrity</w:t>
      </w:r>
    </w:p>
    <w:p w14:paraId="59C54B48" w14:textId="77777777" w:rsidR="001B04FF" w:rsidRPr="008C635F" w:rsidRDefault="001B04FF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00E5F1C3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107868D6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765A868C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09E8A608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3D3631D6" w14:textId="77777777" w:rsidR="0014634C" w:rsidRPr="008C635F" w:rsidRDefault="0014634C" w:rsidP="001B21EA">
      <w:pPr>
        <w:pStyle w:val="WPNormal"/>
        <w:rPr>
          <w:rFonts w:ascii="Times" w:hAnsi="Times"/>
          <w:b/>
          <w:color w:val="000000" w:themeColor="text1"/>
        </w:rPr>
      </w:pPr>
      <w:r w:rsidRPr="008C635F">
        <w:rPr>
          <w:rFonts w:ascii="Times" w:hAnsi="Times"/>
          <w:b/>
          <w:color w:val="000000" w:themeColor="text1"/>
        </w:rPr>
        <w:t xml:space="preserve">Other </w:t>
      </w:r>
      <w:proofErr w:type="gramStart"/>
      <w:r w:rsidRPr="008C635F">
        <w:rPr>
          <w:rFonts w:ascii="Times" w:hAnsi="Times"/>
          <w:b/>
          <w:color w:val="000000" w:themeColor="text1"/>
        </w:rPr>
        <w:t xml:space="preserve">useful  </w:t>
      </w:r>
      <w:r w:rsidR="001B21EA" w:rsidRPr="008C635F">
        <w:rPr>
          <w:rFonts w:ascii="Times" w:hAnsi="Times"/>
          <w:b/>
          <w:color w:val="000000" w:themeColor="text1"/>
        </w:rPr>
        <w:t>i</w:t>
      </w:r>
      <w:r w:rsidRPr="008C635F">
        <w:rPr>
          <w:rFonts w:ascii="Times" w:hAnsi="Times"/>
          <w:b/>
          <w:color w:val="000000" w:themeColor="text1"/>
        </w:rPr>
        <w:t>nformation</w:t>
      </w:r>
      <w:proofErr w:type="gramEnd"/>
      <w:r w:rsidRPr="008C635F">
        <w:rPr>
          <w:rFonts w:ascii="Times" w:hAnsi="Times"/>
          <w:b/>
          <w:color w:val="000000" w:themeColor="text1"/>
        </w:rPr>
        <w:t xml:space="preserve"> for students</w:t>
      </w:r>
    </w:p>
    <w:p w14:paraId="6322A9AB" w14:textId="77777777" w:rsidR="0014634C" w:rsidRPr="008C635F" w:rsidRDefault="0014634C" w:rsidP="0014634C">
      <w:pPr>
        <w:pStyle w:val="WPNormal"/>
        <w:rPr>
          <w:rFonts w:ascii="Times" w:hAnsi="Times"/>
          <w:bCs/>
          <w:color w:val="000000" w:themeColor="text1"/>
        </w:rPr>
      </w:pPr>
    </w:p>
    <w:p w14:paraId="43D3F789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35CC2A9F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748BE628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360988EA" w14:textId="77777777" w:rsidR="0014634C" w:rsidRPr="008C635F" w:rsidRDefault="0014634C" w:rsidP="00634A75">
      <w:pPr>
        <w:pStyle w:val="WPNormal"/>
        <w:rPr>
          <w:rFonts w:ascii="Times" w:hAnsi="Times"/>
          <w:b/>
          <w:color w:val="000000" w:themeColor="text1"/>
        </w:rPr>
      </w:pPr>
    </w:p>
    <w:p w14:paraId="26D64091" w14:textId="77777777" w:rsidR="00F376EC" w:rsidRPr="008C635F" w:rsidRDefault="00F376EC" w:rsidP="00634A75">
      <w:pPr>
        <w:pStyle w:val="WPNormal"/>
        <w:rPr>
          <w:rFonts w:ascii="Times" w:hAnsi="Times"/>
          <w:bCs/>
          <w:color w:val="000000" w:themeColor="text1"/>
        </w:rPr>
      </w:pPr>
    </w:p>
    <w:p w14:paraId="0477C010" w14:textId="77777777" w:rsidR="00D84539" w:rsidRPr="008C635F" w:rsidRDefault="00D84539" w:rsidP="00634A75">
      <w:pPr>
        <w:pStyle w:val="WPNormal"/>
        <w:rPr>
          <w:rFonts w:ascii="Times" w:hAnsi="Times"/>
          <w:bCs/>
          <w:color w:val="000000" w:themeColor="text1"/>
        </w:rPr>
      </w:pPr>
    </w:p>
    <w:sectPr w:rsidR="00D84539" w:rsidRPr="008C635F" w:rsidSect="00461D77">
      <w:headerReference w:type="default" r:id="rId30"/>
      <w:footerReference w:type="default" r:id="rId31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C2CE7" w14:textId="77777777" w:rsidR="00371187" w:rsidRDefault="00371187">
      <w:r>
        <w:separator/>
      </w:r>
    </w:p>
  </w:endnote>
  <w:endnote w:type="continuationSeparator" w:id="0">
    <w:p w14:paraId="3A23B484" w14:textId="77777777" w:rsidR="00371187" w:rsidRDefault="0037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7820" w14:textId="77777777" w:rsidR="008A26F0" w:rsidRDefault="00DF3274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8A26F0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D75433">
      <w:rPr>
        <w:rStyle w:val="PageNumber"/>
        <w:rFonts w:ascii="Times" w:hAnsi="Times"/>
        <w:noProof/>
      </w:rPr>
      <w:t>3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510B" w14:textId="77777777" w:rsidR="00371187" w:rsidRDefault="00371187">
      <w:r>
        <w:separator/>
      </w:r>
    </w:p>
  </w:footnote>
  <w:footnote w:type="continuationSeparator" w:id="0">
    <w:p w14:paraId="17EB71B9" w14:textId="77777777" w:rsidR="00371187" w:rsidRDefault="0037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6806" w14:textId="77777777" w:rsidR="00EF1ACC" w:rsidRDefault="00EF1ACC">
    <w:pPr>
      <w:pStyle w:val="Header"/>
    </w:pPr>
    <w:r>
      <w:rPr>
        <w:noProof/>
        <w:lang w:bidi="he-IL"/>
      </w:rPr>
      <w:drawing>
        <wp:inline distT="0" distB="0" distL="0" distR="0" wp14:anchorId="2B0A5EC5" wp14:editId="47E28388">
          <wp:extent cx="3861765" cy="791845"/>
          <wp:effectExtent l="0" t="0" r="5715" b="8255"/>
          <wp:docPr id="141" name="תמונה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76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A464D"/>
    <w:multiLevelType w:val="multilevel"/>
    <w:tmpl w:val="8E388F7E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2."/>
      <w:lvlJc w:val="left"/>
      <w:pPr>
        <w:ind w:left="360" w:firstLine="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936" w:hanging="144"/>
      </w:pPr>
      <w:rPr>
        <w:rFonts w:hint="default"/>
        <w:color w:val="auto"/>
      </w:rPr>
    </w:lvl>
    <w:lvl w:ilvl="3">
      <w:start w:val="1"/>
      <w:numFmt w:val="bullet"/>
      <w:pStyle w:val="Heading4"/>
      <w:lvlText w:val=""/>
      <w:lvlJc w:val="left"/>
      <w:pPr>
        <w:tabs>
          <w:tab w:val="num" w:pos="1224"/>
        </w:tabs>
        <w:ind w:left="1224" w:hanging="288"/>
      </w:pPr>
      <w:rPr>
        <w:rFonts w:ascii="Symbol" w:hAnsi="Symbol" w:cs="Times New Roman" w:hint="default"/>
        <w:color w:val="auto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A6"/>
    <w:rsid w:val="0001585D"/>
    <w:rsid w:val="000201EF"/>
    <w:rsid w:val="0002439B"/>
    <w:rsid w:val="000342B4"/>
    <w:rsid w:val="00051864"/>
    <w:rsid w:val="000749F9"/>
    <w:rsid w:val="00083D22"/>
    <w:rsid w:val="000C40A2"/>
    <w:rsid w:val="000C49CC"/>
    <w:rsid w:val="000E46A2"/>
    <w:rsid w:val="000F19B1"/>
    <w:rsid w:val="000F5A66"/>
    <w:rsid w:val="0013317D"/>
    <w:rsid w:val="0014634C"/>
    <w:rsid w:val="0016747F"/>
    <w:rsid w:val="0017105F"/>
    <w:rsid w:val="0017436B"/>
    <w:rsid w:val="001816AE"/>
    <w:rsid w:val="001A52D4"/>
    <w:rsid w:val="001A565E"/>
    <w:rsid w:val="001B04FF"/>
    <w:rsid w:val="001B21EA"/>
    <w:rsid w:val="002247F6"/>
    <w:rsid w:val="0023298E"/>
    <w:rsid w:val="00240CFA"/>
    <w:rsid w:val="002516E0"/>
    <w:rsid w:val="00252D64"/>
    <w:rsid w:val="002544D8"/>
    <w:rsid w:val="00266CC0"/>
    <w:rsid w:val="00291269"/>
    <w:rsid w:val="0029542B"/>
    <w:rsid w:val="002A3974"/>
    <w:rsid w:val="002B4DBE"/>
    <w:rsid w:val="002E7FFD"/>
    <w:rsid w:val="00323558"/>
    <w:rsid w:val="003312A0"/>
    <w:rsid w:val="00331B65"/>
    <w:rsid w:val="0033658A"/>
    <w:rsid w:val="00341209"/>
    <w:rsid w:val="00344F9B"/>
    <w:rsid w:val="0035003C"/>
    <w:rsid w:val="00354E70"/>
    <w:rsid w:val="0035505E"/>
    <w:rsid w:val="00361769"/>
    <w:rsid w:val="00371187"/>
    <w:rsid w:val="00380333"/>
    <w:rsid w:val="00381C85"/>
    <w:rsid w:val="00385C2A"/>
    <w:rsid w:val="003B038B"/>
    <w:rsid w:val="003B0A4A"/>
    <w:rsid w:val="003C36B3"/>
    <w:rsid w:val="00401376"/>
    <w:rsid w:val="004144BF"/>
    <w:rsid w:val="004520EB"/>
    <w:rsid w:val="00461D77"/>
    <w:rsid w:val="00463622"/>
    <w:rsid w:val="00466EBC"/>
    <w:rsid w:val="00474EE3"/>
    <w:rsid w:val="004B0E54"/>
    <w:rsid w:val="004C5CAB"/>
    <w:rsid w:val="00506878"/>
    <w:rsid w:val="00537CE4"/>
    <w:rsid w:val="00547102"/>
    <w:rsid w:val="00564696"/>
    <w:rsid w:val="00572957"/>
    <w:rsid w:val="00582301"/>
    <w:rsid w:val="00587021"/>
    <w:rsid w:val="00594564"/>
    <w:rsid w:val="005A6EAF"/>
    <w:rsid w:val="005C233E"/>
    <w:rsid w:val="005F302B"/>
    <w:rsid w:val="005F653E"/>
    <w:rsid w:val="006008AB"/>
    <w:rsid w:val="00607B10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2F11"/>
    <w:rsid w:val="00687910"/>
    <w:rsid w:val="00690C64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A0118"/>
    <w:rsid w:val="007D497B"/>
    <w:rsid w:val="00830EAB"/>
    <w:rsid w:val="00831E29"/>
    <w:rsid w:val="008370DB"/>
    <w:rsid w:val="00860017"/>
    <w:rsid w:val="008613F6"/>
    <w:rsid w:val="0087768E"/>
    <w:rsid w:val="00881DBD"/>
    <w:rsid w:val="008A26F0"/>
    <w:rsid w:val="008B20EA"/>
    <w:rsid w:val="008C4323"/>
    <w:rsid w:val="008C635F"/>
    <w:rsid w:val="008D4E63"/>
    <w:rsid w:val="008F40CD"/>
    <w:rsid w:val="00912BFE"/>
    <w:rsid w:val="00920D9D"/>
    <w:rsid w:val="00935EB1"/>
    <w:rsid w:val="009510D3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D4A5D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915BB"/>
    <w:rsid w:val="00AA4860"/>
    <w:rsid w:val="00AA61C7"/>
    <w:rsid w:val="00AB07D3"/>
    <w:rsid w:val="00AE142B"/>
    <w:rsid w:val="00AF7F9F"/>
    <w:rsid w:val="00B04307"/>
    <w:rsid w:val="00B21261"/>
    <w:rsid w:val="00B313F5"/>
    <w:rsid w:val="00B47BE4"/>
    <w:rsid w:val="00B5342C"/>
    <w:rsid w:val="00B60818"/>
    <w:rsid w:val="00B6577E"/>
    <w:rsid w:val="00B73E90"/>
    <w:rsid w:val="00B7568B"/>
    <w:rsid w:val="00B7734A"/>
    <w:rsid w:val="00B92EEF"/>
    <w:rsid w:val="00B954A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75433"/>
    <w:rsid w:val="00D80189"/>
    <w:rsid w:val="00D84539"/>
    <w:rsid w:val="00D85716"/>
    <w:rsid w:val="00D91E22"/>
    <w:rsid w:val="00DA7956"/>
    <w:rsid w:val="00DC76B9"/>
    <w:rsid w:val="00DF3274"/>
    <w:rsid w:val="00E237AD"/>
    <w:rsid w:val="00E3529C"/>
    <w:rsid w:val="00E64049"/>
    <w:rsid w:val="00E762E6"/>
    <w:rsid w:val="00E810DE"/>
    <w:rsid w:val="00E8434E"/>
    <w:rsid w:val="00E924B2"/>
    <w:rsid w:val="00E972CA"/>
    <w:rsid w:val="00EA2F3B"/>
    <w:rsid w:val="00EA779A"/>
    <w:rsid w:val="00EB0756"/>
    <w:rsid w:val="00EB2024"/>
    <w:rsid w:val="00EC33D1"/>
    <w:rsid w:val="00EC5910"/>
    <w:rsid w:val="00ED3F5E"/>
    <w:rsid w:val="00EF1ACC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74FB8"/>
    <w:rsid w:val="00F864A4"/>
    <w:rsid w:val="00FA00CF"/>
    <w:rsid w:val="00FA0EE8"/>
    <w:rsid w:val="00FA7897"/>
    <w:rsid w:val="00FB5911"/>
    <w:rsid w:val="00FC44D7"/>
    <w:rsid w:val="00FD0D7A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4BC43"/>
  <w15:docId w15:val="{D5CF0C51-7EEC-492B-8F49-7ADC7E6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7E"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numPr>
        <w:numId w:val="12"/>
      </w:num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numPr>
        <w:ilvl w:val="1"/>
        <w:numId w:val="12"/>
      </w:num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47F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47F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sid w:val="00B6577E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sid w:val="00B6577E"/>
    <w:rPr>
      <w:rFonts w:ascii="Monaco" w:hAnsi="Monaco"/>
    </w:rPr>
  </w:style>
  <w:style w:type="paragraph" w:customStyle="1" w:styleId="WPWPDefaults">
    <w:name w:val="WP_WP Defaults"/>
    <w:rsid w:val="00B6577E"/>
    <w:rPr>
      <w:rFonts w:ascii="Geneva" w:hAnsi="Geneva"/>
      <w:sz w:val="24"/>
      <w:lang w:bidi="ar-SA"/>
    </w:rPr>
  </w:style>
  <w:style w:type="paragraph" w:styleId="Header">
    <w:name w:val="header"/>
    <w:basedOn w:val="Normal"/>
    <w:rsid w:val="00B6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77E"/>
  </w:style>
  <w:style w:type="paragraph" w:styleId="PlainText">
    <w:name w:val="Plain Text"/>
    <w:basedOn w:val="Normal"/>
    <w:rsid w:val="00B6577E"/>
    <w:rPr>
      <w:rFonts w:ascii="Courier" w:eastAsia="Times" w:hAnsi="Courier"/>
    </w:rPr>
  </w:style>
  <w:style w:type="character" w:styleId="Hyperlink">
    <w:name w:val="Hyperlink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7176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8C635F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C635F"/>
    <w:rPr>
      <w:rFonts w:ascii="Times New Roman" w:hAnsi="Times New Roman"/>
      <w:b/>
      <w:bCs/>
      <w:sz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82F1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4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47F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D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.cornell.edu/uscode/text/17/106A" TargetMode="External"/><Relationship Id="rId18" Type="http://schemas.openxmlformats.org/officeDocument/2006/relationships/hyperlink" Target="https://www.law.cornell.edu/uscode/text/17/501" TargetMode="External"/><Relationship Id="rId26" Type="http://schemas.openxmlformats.org/officeDocument/2006/relationships/hyperlink" Target="https://www.law.cornell.edu/uscode/text/17/101" TargetMode="External"/><Relationship Id="rId3" Type="http://schemas.openxmlformats.org/officeDocument/2006/relationships/styles" Target="styles.xml"/><Relationship Id="rId21" Type="http://schemas.openxmlformats.org/officeDocument/2006/relationships/hyperlink" Target="http://people.virginia.edu/~do2n/IP/IP_Claus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uscode/text/17/106" TargetMode="External"/><Relationship Id="rId17" Type="http://schemas.openxmlformats.org/officeDocument/2006/relationships/hyperlink" Target="https://www.law.cornell.edu/uscode/text/17/302" TargetMode="External"/><Relationship Id="rId25" Type="http://schemas.openxmlformats.org/officeDocument/2006/relationships/hyperlink" Target="https://www.law.berkeley.edu/files/louisvuitton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w.cornell.edu/uscode/text/17/202" TargetMode="External"/><Relationship Id="rId20" Type="http://schemas.openxmlformats.org/officeDocument/2006/relationships/hyperlink" Target="https://www.law.cornell.edu/uscode/text/17/1201" TargetMode="External"/><Relationship Id="rId29" Type="http://schemas.openxmlformats.org/officeDocument/2006/relationships/hyperlink" Target="https://www.law.cornell.edu/uscode/text/35/1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w.cornell.edu/uscode/text/17/103" TargetMode="External"/><Relationship Id="rId24" Type="http://schemas.openxmlformats.org/officeDocument/2006/relationships/hyperlink" Target="https://cyber.harvard.edu/metaschool/fisher/domain/tmcases/amf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aw.cornell.edu/uscode/text/17/201" TargetMode="External"/><Relationship Id="rId23" Type="http://schemas.openxmlformats.org/officeDocument/2006/relationships/hyperlink" Target="https://www.law.cornell.edu/uscode/text/18/1839" TargetMode="External"/><Relationship Id="rId28" Type="http://schemas.openxmlformats.org/officeDocument/2006/relationships/hyperlink" Target="https://www.law.cornell.edu/uscode/text/17/1301" TargetMode="External"/><Relationship Id="rId10" Type="http://schemas.openxmlformats.org/officeDocument/2006/relationships/hyperlink" Target="https://www.law.cornell.edu/uscode/text/17/102" TargetMode="External"/><Relationship Id="rId19" Type="http://schemas.openxmlformats.org/officeDocument/2006/relationships/hyperlink" Target="https://www.law.cornell.edu/uscode/text/17/5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pers.ssrn.com/sol3/papers.cfm?abstract_id=3764808" TargetMode="External"/><Relationship Id="rId14" Type="http://schemas.openxmlformats.org/officeDocument/2006/relationships/hyperlink" Target="https://www.law.cornell.edu/uscode/text/17/107" TargetMode="External"/><Relationship Id="rId22" Type="http://schemas.openxmlformats.org/officeDocument/2006/relationships/hyperlink" Target="https://www.law.cornell.edu/uscode/text/18/1836" TargetMode="External"/><Relationship Id="rId27" Type="http://schemas.openxmlformats.org/officeDocument/2006/relationships/hyperlink" Target="https://www.law.cornell.edu/uscode/text/17/901" TargetMode="External"/><Relationship Id="rId30" Type="http://schemas.openxmlformats.org/officeDocument/2006/relationships/header" Target="header1.xml"/><Relationship Id="rId8" Type="http://schemas.openxmlformats.org/officeDocument/2006/relationships/hyperlink" Target="mailto:dotan.oli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87DC0-8395-5C41-B752-27F8F91E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8162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Dotan Oliar</cp:lastModifiedBy>
  <cp:revision>7</cp:revision>
  <cp:lastPrinted>2013-10-02T09:28:00Z</cp:lastPrinted>
  <dcterms:created xsi:type="dcterms:W3CDTF">2021-06-24T00:51:00Z</dcterms:created>
  <dcterms:modified xsi:type="dcterms:W3CDTF">2021-06-24T00:53:00Z</dcterms:modified>
</cp:coreProperties>
</file>